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34053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bookmarkStart w:id="0" w:name="_GoBack"/>
      <w:bookmarkEnd w:id="0"/>
      <w:r w:rsidR="00934768" w:rsidRPr="00E617AC">
        <w:rPr>
          <w:b/>
          <w:i/>
          <w:sz w:val="26"/>
          <w:szCs w:val="26"/>
        </w:rPr>
        <w:t>/201</w:t>
      </w:r>
      <w:r w:rsidR="00AA069D">
        <w:rPr>
          <w:b/>
          <w:i/>
          <w:sz w:val="26"/>
          <w:szCs w:val="26"/>
        </w:rPr>
        <w:t>9</w:t>
      </w:r>
      <w:r w:rsidR="00934768" w:rsidRPr="00E617AC">
        <w:rPr>
          <w:b/>
          <w:i/>
          <w:sz w:val="26"/>
          <w:szCs w:val="26"/>
        </w:rPr>
        <w:t>. (</w:t>
      </w:r>
      <w:r w:rsidR="00AA069D">
        <w:rPr>
          <w:b/>
          <w:i/>
          <w:sz w:val="26"/>
          <w:szCs w:val="26"/>
        </w:rPr>
        <w:t>I</w:t>
      </w:r>
      <w:r w:rsidR="00A07966">
        <w:rPr>
          <w:b/>
          <w:i/>
          <w:sz w:val="26"/>
          <w:szCs w:val="26"/>
        </w:rPr>
        <w:t>II</w:t>
      </w:r>
      <w:r w:rsidR="00C15B02">
        <w:rPr>
          <w:b/>
          <w:i/>
          <w:sz w:val="26"/>
          <w:szCs w:val="26"/>
        </w:rPr>
        <w:t>.</w:t>
      </w:r>
      <w:r w:rsidR="00AA069D">
        <w:rPr>
          <w:b/>
          <w:i/>
          <w:sz w:val="26"/>
          <w:szCs w:val="26"/>
        </w:rPr>
        <w:t>29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az Önkormányzat 201</w:t>
      </w:r>
      <w:r w:rsidR="00710411">
        <w:rPr>
          <w:b/>
          <w:i/>
          <w:sz w:val="26"/>
          <w:szCs w:val="26"/>
        </w:rPr>
        <w:t>8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710411">
        <w:rPr>
          <w:b/>
          <w:i/>
          <w:sz w:val="26"/>
          <w:szCs w:val="26"/>
        </w:rPr>
        <w:t>3</w:t>
      </w:r>
      <w:r w:rsidR="006F0075" w:rsidRPr="00E617AC">
        <w:rPr>
          <w:b/>
          <w:i/>
          <w:sz w:val="26"/>
          <w:szCs w:val="26"/>
        </w:rPr>
        <w:t>/201</w:t>
      </w:r>
      <w:r w:rsidR="00710411">
        <w:rPr>
          <w:b/>
          <w:i/>
          <w:sz w:val="26"/>
          <w:szCs w:val="26"/>
        </w:rPr>
        <w:t>8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E96152">
        <w:rPr>
          <w:b/>
          <w:i/>
          <w:sz w:val="26"/>
          <w:szCs w:val="26"/>
        </w:rPr>
        <w:t>5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C536C7">
        <w:t>8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0A5593">
        <w:rPr>
          <w:szCs w:val="24"/>
        </w:rPr>
        <w:t>8</w:t>
      </w:r>
      <w:r w:rsidRPr="00377B4D">
        <w:rPr>
          <w:szCs w:val="24"/>
        </w:rPr>
        <w:t xml:space="preserve">. évi költségvetéséről szóló </w:t>
      </w:r>
      <w:r w:rsidR="000A5593">
        <w:rPr>
          <w:szCs w:val="24"/>
        </w:rPr>
        <w:t>3</w:t>
      </w:r>
      <w:r w:rsidRPr="00377B4D">
        <w:rPr>
          <w:szCs w:val="24"/>
        </w:rPr>
        <w:t>/201</w:t>
      </w:r>
      <w:r w:rsidR="000A5593">
        <w:rPr>
          <w:szCs w:val="24"/>
        </w:rPr>
        <w:t>8</w:t>
      </w:r>
      <w:r w:rsidRPr="00377B4D">
        <w:rPr>
          <w:szCs w:val="24"/>
        </w:rPr>
        <w:t>. (II.1</w:t>
      </w:r>
      <w:r w:rsidR="00E96152">
        <w:rPr>
          <w:szCs w:val="24"/>
        </w:rPr>
        <w:t>5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0A5593">
        <w:rPr>
          <w:sz w:val="24"/>
        </w:rPr>
        <w:t>8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r w:rsidR="00B20BB9" w:rsidRPr="00B20BB9">
        <w:t>b</w:t>
      </w:r>
      <w:r w:rsidRPr="00B20BB9">
        <w:t>evételi főösszegét</w:t>
      </w:r>
      <w:r w:rsidR="0082518A">
        <w:t xml:space="preserve">  </w:t>
      </w:r>
      <w:r w:rsidR="00787E06">
        <w:tab/>
      </w:r>
      <w:r w:rsidR="00AA069D">
        <w:t>578.750.223</w:t>
      </w:r>
      <w:r w:rsidR="00E64705">
        <w:t xml:space="preserve"> </w:t>
      </w:r>
      <w:r w:rsidRPr="00B20BB9">
        <w:t>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r w:rsidR="00B20BB9" w:rsidRPr="00B20BB9">
        <w:rPr>
          <w:sz w:val="24"/>
        </w:rPr>
        <w:t>k</w:t>
      </w:r>
      <w:r w:rsidRPr="00B20BB9">
        <w:rPr>
          <w:sz w:val="24"/>
        </w:rPr>
        <w:t>iadási főösszegét</w:t>
      </w:r>
      <w:r w:rsidR="0082518A">
        <w:rPr>
          <w:sz w:val="24"/>
        </w:rPr>
        <w:t xml:space="preserve">             </w:t>
      </w:r>
      <w:r w:rsidR="00AA069D">
        <w:rPr>
          <w:sz w:val="24"/>
        </w:rPr>
        <w:t>578.750.223</w:t>
      </w:r>
      <w:r w:rsidR="00C536C7">
        <w:rPr>
          <w:sz w:val="24"/>
        </w:rPr>
        <w:t xml:space="preserve"> </w:t>
      </w:r>
      <w:r w:rsidRPr="00B20BB9">
        <w:rPr>
          <w:sz w:val="24"/>
        </w:rPr>
        <w:t>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0A5593">
        <w:rPr>
          <w:szCs w:val="24"/>
        </w:rPr>
        <w:t>8</w:t>
      </w:r>
      <w:r w:rsidRPr="00DD7FD0">
        <w:rPr>
          <w:szCs w:val="24"/>
        </w:rPr>
        <w:t xml:space="preserve">. évi költségvetéséről szóló </w:t>
      </w:r>
      <w:r w:rsidR="000A5593">
        <w:rPr>
          <w:szCs w:val="24"/>
        </w:rPr>
        <w:t>3</w:t>
      </w:r>
      <w:r w:rsidRPr="00DD7FD0">
        <w:rPr>
          <w:szCs w:val="24"/>
        </w:rPr>
        <w:t>/201</w:t>
      </w:r>
      <w:r w:rsidR="000A5593">
        <w:rPr>
          <w:szCs w:val="24"/>
        </w:rPr>
        <w:t>8</w:t>
      </w:r>
      <w:r w:rsidRPr="00DD7FD0">
        <w:rPr>
          <w:szCs w:val="24"/>
        </w:rPr>
        <w:t>. (II.1</w:t>
      </w:r>
      <w:r w:rsidR="00AF2BD3">
        <w:rPr>
          <w:szCs w:val="24"/>
        </w:rPr>
        <w:t>5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 xml:space="preserve">.§-ban megállapított bevételi főösszeget bevételi </w:t>
      </w:r>
      <w:proofErr w:type="spellStart"/>
      <w:r w:rsidR="006F0075" w:rsidRPr="00DB7A1B">
        <w:rPr>
          <w:sz w:val="24"/>
        </w:rPr>
        <w:t>forrásonként</w:t>
      </w:r>
      <w:proofErr w:type="spellEnd"/>
      <w:r w:rsidR="006F0075" w:rsidRPr="00DB7A1B">
        <w:rPr>
          <w:sz w:val="24"/>
        </w:rPr>
        <w:t xml:space="preserve"> az alábbiak szerint határozza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FA5509" w:rsidTr="00FA5509">
        <w:tc>
          <w:tcPr>
            <w:tcW w:w="846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Költségvetési támogatás</w:t>
            </w:r>
          </w:p>
        </w:tc>
        <w:tc>
          <w:tcPr>
            <w:tcW w:w="3255" w:type="dxa"/>
          </w:tcPr>
          <w:p w:rsidR="00FA5509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176.146.287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846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Saját bevétel</w:t>
            </w:r>
          </w:p>
        </w:tc>
        <w:tc>
          <w:tcPr>
            <w:tcW w:w="3255" w:type="dxa"/>
          </w:tcPr>
          <w:p w:rsidR="00FA5509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294.396.394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846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Átvett pénzeszköz</w:t>
            </w:r>
          </w:p>
        </w:tc>
        <w:tc>
          <w:tcPr>
            <w:tcW w:w="3255" w:type="dxa"/>
          </w:tcPr>
          <w:p w:rsidR="00FA5509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26.546.355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846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Intézmények saját bevétele</w:t>
            </w:r>
          </w:p>
        </w:tc>
        <w:tc>
          <w:tcPr>
            <w:tcW w:w="3255" w:type="dxa"/>
          </w:tcPr>
          <w:p w:rsidR="00FA5509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20.213.625 </w:t>
            </w:r>
            <w:r w:rsidRPr="00DB7A1B">
              <w:rPr>
                <w:sz w:val="24"/>
                <w:szCs w:val="24"/>
              </w:rPr>
              <w:t>Ft</w:t>
            </w:r>
          </w:p>
        </w:tc>
      </w:tr>
      <w:tr w:rsidR="00FA5509" w:rsidTr="00FA5509">
        <w:tc>
          <w:tcPr>
            <w:tcW w:w="846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Előző évi pénzmaradvány</w:t>
            </w:r>
          </w:p>
        </w:tc>
        <w:tc>
          <w:tcPr>
            <w:tcW w:w="3255" w:type="dxa"/>
          </w:tcPr>
          <w:p w:rsidR="00FA5509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61.447.562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846" w:type="dxa"/>
          </w:tcPr>
          <w:p w:rsidR="00FA5509" w:rsidRPr="000772D2" w:rsidRDefault="00FA5509" w:rsidP="00040CFE">
            <w:pPr>
              <w:tabs>
                <w:tab w:val="left" w:pos="851"/>
                <w:tab w:val="decimal" w:pos="56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A5509" w:rsidRPr="000772D2" w:rsidRDefault="00FA5509" w:rsidP="00040CFE">
            <w:pPr>
              <w:tabs>
                <w:tab w:val="left" w:pos="851"/>
                <w:tab w:val="decimal" w:pos="5670"/>
              </w:tabs>
              <w:rPr>
                <w:b/>
                <w:i/>
                <w:sz w:val="24"/>
                <w:szCs w:val="24"/>
              </w:rPr>
            </w:pPr>
            <w:r w:rsidRPr="000772D2">
              <w:rPr>
                <w:b/>
                <w:i/>
                <w:sz w:val="24"/>
                <w:szCs w:val="24"/>
              </w:rPr>
              <w:t>Összesen:</w:t>
            </w:r>
          </w:p>
        </w:tc>
        <w:tc>
          <w:tcPr>
            <w:tcW w:w="3255" w:type="dxa"/>
          </w:tcPr>
          <w:p w:rsidR="00FA5509" w:rsidRPr="000772D2" w:rsidRDefault="00FA5509" w:rsidP="000772D2">
            <w:pPr>
              <w:tabs>
                <w:tab w:val="left" w:pos="851"/>
                <w:tab w:val="decimal" w:pos="5670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578.750.223 </w:t>
            </w:r>
            <w:r w:rsidRPr="000772D2">
              <w:rPr>
                <w:b/>
                <w:i/>
                <w:sz w:val="24"/>
                <w:szCs w:val="24"/>
              </w:rPr>
              <w:t>Ft</w:t>
            </w:r>
          </w:p>
        </w:tc>
      </w:tr>
    </w:tbl>
    <w:p w:rsidR="000772D2" w:rsidRDefault="000772D2" w:rsidP="00040CFE">
      <w:pPr>
        <w:tabs>
          <w:tab w:val="left" w:pos="851"/>
          <w:tab w:val="decimal" w:pos="5670"/>
        </w:tabs>
        <w:rPr>
          <w:sz w:val="24"/>
          <w:szCs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E1F88">
        <w:rPr>
          <w:szCs w:val="24"/>
        </w:rPr>
        <w:t>8</w:t>
      </w:r>
      <w:r w:rsidRPr="00377B4D">
        <w:rPr>
          <w:szCs w:val="24"/>
        </w:rPr>
        <w:t xml:space="preserve">. évi költségvetéséről szóló </w:t>
      </w:r>
      <w:r w:rsidR="00AE1F88">
        <w:rPr>
          <w:szCs w:val="24"/>
        </w:rPr>
        <w:t>3</w:t>
      </w:r>
      <w:r w:rsidRPr="00377B4D">
        <w:rPr>
          <w:szCs w:val="24"/>
        </w:rPr>
        <w:t>/201</w:t>
      </w:r>
      <w:r w:rsidR="00AE1F88">
        <w:rPr>
          <w:szCs w:val="24"/>
        </w:rPr>
        <w:t>8</w:t>
      </w:r>
      <w:r w:rsidRPr="00377B4D">
        <w:rPr>
          <w:szCs w:val="24"/>
        </w:rPr>
        <w:t>. (II.1</w:t>
      </w:r>
      <w:r w:rsidR="00AF2BD3">
        <w:rPr>
          <w:szCs w:val="24"/>
        </w:rPr>
        <w:t>5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2.§-ban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917"/>
        <w:gridCol w:w="3157"/>
      </w:tblGrid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Személyi jellegű kiadások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185.610.779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3157" w:type="dxa"/>
          </w:tcPr>
          <w:p w:rsidR="00FA5509" w:rsidRDefault="00FA5509" w:rsidP="00046CD8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36.145.390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Dologi kiadások</w:t>
            </w:r>
          </w:p>
        </w:tc>
        <w:tc>
          <w:tcPr>
            <w:tcW w:w="3157" w:type="dxa"/>
          </w:tcPr>
          <w:p w:rsidR="00FA5509" w:rsidRDefault="00FA5509" w:rsidP="000D3A0A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166.949.728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7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Választási kiadások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1.507.530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 xml:space="preserve">Ellátottak </w:t>
            </w:r>
            <w:proofErr w:type="spellStart"/>
            <w:r w:rsidRPr="00DB7A1B">
              <w:rPr>
                <w:sz w:val="24"/>
                <w:szCs w:val="24"/>
              </w:rPr>
              <w:t>pénzbeni</w:t>
            </w:r>
            <w:proofErr w:type="spellEnd"/>
            <w:r w:rsidRPr="00DB7A1B">
              <w:rPr>
                <w:sz w:val="24"/>
                <w:szCs w:val="24"/>
              </w:rPr>
              <w:t xml:space="preserve"> juttatása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2.936.640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Felhalmozási kiadások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30.579.561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Átadott pénzeszközök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98.252.146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Kölcsön nyújtása, lakástámogatás</w:t>
            </w:r>
          </w:p>
        </w:tc>
        <w:tc>
          <w:tcPr>
            <w:tcW w:w="3157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1.800.000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 w:rsidRPr="00DB7A1B">
              <w:rPr>
                <w:sz w:val="24"/>
                <w:szCs w:val="24"/>
              </w:rPr>
              <w:t>Tartalék</w:t>
            </w:r>
          </w:p>
        </w:tc>
        <w:tc>
          <w:tcPr>
            <w:tcW w:w="3157" w:type="dxa"/>
          </w:tcPr>
          <w:p w:rsidR="00FA5509" w:rsidRDefault="00FA5509" w:rsidP="000D3A0A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49.317.893</w:t>
            </w:r>
            <w:r w:rsidRPr="00DB7A1B">
              <w:rPr>
                <w:sz w:val="24"/>
                <w:szCs w:val="24"/>
              </w:rPr>
              <w:t xml:space="preserve"> Ft</w:t>
            </w:r>
          </w:p>
        </w:tc>
      </w:tr>
      <w:tr w:rsidR="00FA5509" w:rsidRPr="000772D2" w:rsidTr="00FA5509">
        <w:tc>
          <w:tcPr>
            <w:tcW w:w="988" w:type="dxa"/>
          </w:tcPr>
          <w:p w:rsidR="00FA5509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:rsidR="00FA5509" w:rsidRPr="00A66C57" w:rsidRDefault="00FA5509" w:rsidP="00040CFE">
            <w:pPr>
              <w:tabs>
                <w:tab w:val="left" w:pos="851"/>
                <w:tab w:val="decimal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MÁK előleg visszafizetése</w:t>
            </w:r>
          </w:p>
        </w:tc>
        <w:tc>
          <w:tcPr>
            <w:tcW w:w="3157" w:type="dxa"/>
          </w:tcPr>
          <w:p w:rsidR="00FA5509" w:rsidRPr="002D2A55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5.650.556 Ft</w:t>
            </w:r>
          </w:p>
        </w:tc>
      </w:tr>
      <w:tr w:rsidR="00FA5509" w:rsidRPr="000772D2" w:rsidTr="00FA5509">
        <w:tc>
          <w:tcPr>
            <w:tcW w:w="988" w:type="dxa"/>
          </w:tcPr>
          <w:p w:rsidR="00FA5509" w:rsidRPr="000772D2" w:rsidRDefault="00FA5509" w:rsidP="00040CFE">
            <w:pPr>
              <w:tabs>
                <w:tab w:val="left" w:pos="851"/>
                <w:tab w:val="decimal" w:pos="56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917" w:type="dxa"/>
          </w:tcPr>
          <w:p w:rsidR="00FA5509" w:rsidRPr="000772D2" w:rsidRDefault="00FA5509" w:rsidP="00040CFE">
            <w:pPr>
              <w:tabs>
                <w:tab w:val="left" w:pos="851"/>
                <w:tab w:val="decimal" w:pos="5670"/>
              </w:tabs>
              <w:rPr>
                <w:b/>
                <w:i/>
                <w:sz w:val="24"/>
                <w:szCs w:val="24"/>
              </w:rPr>
            </w:pPr>
            <w:r w:rsidRPr="000772D2">
              <w:rPr>
                <w:b/>
                <w:i/>
                <w:sz w:val="24"/>
                <w:szCs w:val="24"/>
              </w:rPr>
              <w:t>Összesen</w:t>
            </w:r>
          </w:p>
        </w:tc>
        <w:tc>
          <w:tcPr>
            <w:tcW w:w="3157" w:type="dxa"/>
          </w:tcPr>
          <w:p w:rsidR="00FA5509" w:rsidRPr="000772D2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578.750.223</w:t>
            </w:r>
            <w:r w:rsidRPr="000772D2">
              <w:rPr>
                <w:b/>
                <w:i/>
                <w:sz w:val="24"/>
                <w:szCs w:val="24"/>
              </w:rPr>
              <w:t xml:space="preserve"> Ft</w:t>
            </w:r>
          </w:p>
        </w:tc>
      </w:tr>
    </w:tbl>
    <w:p w:rsidR="00F45A5D" w:rsidRDefault="00F45A5D" w:rsidP="00040CFE">
      <w:pPr>
        <w:tabs>
          <w:tab w:val="left" w:pos="851"/>
          <w:tab w:val="decimal" w:pos="5670"/>
        </w:tabs>
        <w:rPr>
          <w:sz w:val="24"/>
          <w:szCs w:val="24"/>
        </w:rPr>
      </w:pPr>
    </w:p>
    <w:p w:rsidR="00F45A5D" w:rsidRDefault="00F45A5D" w:rsidP="00040CFE">
      <w:pPr>
        <w:tabs>
          <w:tab w:val="left" w:pos="851"/>
          <w:tab w:val="decimal" w:pos="5670"/>
        </w:tabs>
        <w:rPr>
          <w:sz w:val="24"/>
          <w:szCs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E1F88">
        <w:rPr>
          <w:szCs w:val="24"/>
        </w:rPr>
        <w:t>8</w:t>
      </w:r>
      <w:r w:rsidRPr="00377B4D">
        <w:rPr>
          <w:szCs w:val="24"/>
        </w:rPr>
        <w:t xml:space="preserve">. évi költségvetéséről szóló </w:t>
      </w:r>
      <w:r w:rsidR="00AE1F88">
        <w:rPr>
          <w:szCs w:val="24"/>
        </w:rPr>
        <w:t>3</w:t>
      </w:r>
      <w:r w:rsidRPr="00377B4D">
        <w:rPr>
          <w:szCs w:val="24"/>
        </w:rPr>
        <w:t>/201</w:t>
      </w:r>
      <w:r w:rsidR="00AE1F88">
        <w:rPr>
          <w:szCs w:val="24"/>
        </w:rPr>
        <w:t>8</w:t>
      </w:r>
      <w:r w:rsidRPr="00377B4D">
        <w:rPr>
          <w:szCs w:val="24"/>
        </w:rPr>
        <w:t>. (II.1</w:t>
      </w:r>
      <w:r w:rsidR="00330F6C">
        <w:rPr>
          <w:szCs w:val="24"/>
        </w:rPr>
        <w:t>5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 xml:space="preserve">.§.-ban </w:t>
      </w:r>
      <w:r w:rsidR="00717A50" w:rsidRPr="00DB7A1B">
        <w:rPr>
          <w:sz w:val="24"/>
        </w:rPr>
        <w:t>megállapított kiadási főösszeget az alábbiak alapján hagyja jóvá: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121"/>
      </w:tblGrid>
      <w:tr w:rsidR="00FA5509" w:rsidTr="00FA5509">
        <w:tc>
          <w:tcPr>
            <w:tcW w:w="988" w:type="dxa"/>
          </w:tcPr>
          <w:p w:rsidR="00FA5509" w:rsidRPr="00DB7A1B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953" w:type="dxa"/>
          </w:tcPr>
          <w:p w:rsidR="00FA5509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 w:rsidRPr="00DB7A1B">
              <w:rPr>
                <w:sz w:val="24"/>
              </w:rPr>
              <w:t>Felsőtárkányi Közös Önkormányzati Hivatal költségvetése</w:t>
            </w:r>
          </w:p>
        </w:tc>
        <w:tc>
          <w:tcPr>
            <w:tcW w:w="2121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85.374.689</w:t>
            </w:r>
            <w:r w:rsidRPr="00DB7A1B">
              <w:rPr>
                <w:sz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953" w:type="dxa"/>
          </w:tcPr>
          <w:p w:rsidR="00FA5509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 w:rsidRPr="00DB7A1B">
              <w:rPr>
                <w:sz w:val="24"/>
              </w:rPr>
              <w:t>Felsőtárkányi Óvoda</w:t>
            </w:r>
          </w:p>
        </w:tc>
        <w:tc>
          <w:tcPr>
            <w:tcW w:w="2121" w:type="dxa"/>
          </w:tcPr>
          <w:p w:rsidR="00FA5509" w:rsidRDefault="00FA5509" w:rsidP="00F45A5D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80.314.501</w:t>
            </w:r>
            <w:r w:rsidRPr="00DB7A1B">
              <w:rPr>
                <w:sz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953" w:type="dxa"/>
          </w:tcPr>
          <w:p w:rsidR="00FA5509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 w:rsidRPr="00DB7A1B">
              <w:rPr>
                <w:sz w:val="24"/>
              </w:rPr>
              <w:t>Felsőtárkányi Közművelődési Intézmény</w:t>
            </w:r>
          </w:p>
        </w:tc>
        <w:tc>
          <w:tcPr>
            <w:tcW w:w="2121" w:type="dxa"/>
          </w:tcPr>
          <w:p w:rsidR="00FA5509" w:rsidRDefault="00FA5509" w:rsidP="000D3A0A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51.840.299</w:t>
            </w:r>
            <w:r w:rsidRPr="00DB7A1B">
              <w:rPr>
                <w:sz w:val="24"/>
              </w:rPr>
              <w:t xml:space="preserve"> Ft</w:t>
            </w:r>
          </w:p>
        </w:tc>
      </w:tr>
      <w:tr w:rsidR="00FA5509" w:rsidTr="00FA5509">
        <w:tc>
          <w:tcPr>
            <w:tcW w:w="988" w:type="dxa"/>
          </w:tcPr>
          <w:p w:rsidR="00FA5509" w:rsidRPr="00DB7A1B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953" w:type="dxa"/>
          </w:tcPr>
          <w:p w:rsidR="00FA5509" w:rsidRDefault="00FA5509" w:rsidP="00717A50">
            <w:pPr>
              <w:tabs>
                <w:tab w:val="left" w:pos="851"/>
                <w:tab w:val="decimal" w:pos="5670"/>
              </w:tabs>
              <w:rPr>
                <w:sz w:val="24"/>
              </w:rPr>
            </w:pPr>
            <w:r w:rsidRPr="00DB7A1B">
              <w:rPr>
                <w:sz w:val="24"/>
              </w:rPr>
              <w:t xml:space="preserve">Felsőtárkány Község Önkormányzata önkormányzati feladat ellátásához kapcsolódó költségvetése                             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</w:tcPr>
          <w:p w:rsidR="00FA5509" w:rsidRDefault="00FA5509" w:rsidP="000D3A0A">
            <w:pPr>
              <w:tabs>
                <w:tab w:val="left" w:pos="851"/>
                <w:tab w:val="decimal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361.220.734</w:t>
            </w:r>
            <w:r w:rsidRPr="00DB7A1B">
              <w:rPr>
                <w:sz w:val="24"/>
              </w:rPr>
              <w:t xml:space="preserve"> Ft</w:t>
            </w:r>
          </w:p>
        </w:tc>
      </w:tr>
    </w:tbl>
    <w:p w:rsidR="00F45A5D" w:rsidRDefault="00F45A5D" w:rsidP="00717A50">
      <w:pPr>
        <w:tabs>
          <w:tab w:val="left" w:pos="851"/>
          <w:tab w:val="decimal" w:pos="5670"/>
        </w:tabs>
        <w:rPr>
          <w:sz w:val="24"/>
        </w:rPr>
      </w:pPr>
    </w:p>
    <w:p w:rsidR="00F45A5D" w:rsidRDefault="00F45A5D" w:rsidP="00717A50">
      <w:pPr>
        <w:tabs>
          <w:tab w:val="left" w:pos="851"/>
          <w:tab w:val="decimal" w:pos="5670"/>
        </w:tabs>
        <w:rPr>
          <w:sz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AE1F88">
        <w:rPr>
          <w:sz w:val="24"/>
          <w:szCs w:val="24"/>
        </w:rPr>
        <w:t>8</w:t>
      </w:r>
      <w:r w:rsidRPr="00377B4D">
        <w:rPr>
          <w:sz w:val="24"/>
          <w:szCs w:val="24"/>
        </w:rPr>
        <w:t xml:space="preserve">. évi költségvetéséről szóló </w:t>
      </w:r>
      <w:r w:rsidR="00AE1F88">
        <w:rPr>
          <w:sz w:val="24"/>
          <w:szCs w:val="24"/>
        </w:rPr>
        <w:t>3</w:t>
      </w:r>
      <w:r w:rsidRPr="00377B4D">
        <w:rPr>
          <w:sz w:val="24"/>
          <w:szCs w:val="24"/>
        </w:rPr>
        <w:t>/201</w:t>
      </w:r>
      <w:r w:rsidR="00C15B02">
        <w:rPr>
          <w:sz w:val="24"/>
          <w:szCs w:val="24"/>
        </w:rPr>
        <w:t>8</w:t>
      </w:r>
      <w:r w:rsidRPr="00377B4D">
        <w:rPr>
          <w:sz w:val="24"/>
          <w:szCs w:val="24"/>
        </w:rPr>
        <w:t>. (II.1</w:t>
      </w:r>
      <w:r w:rsidR="007E691A">
        <w:rPr>
          <w:sz w:val="24"/>
          <w:szCs w:val="24"/>
        </w:rPr>
        <w:t>5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§-</w:t>
      </w:r>
      <w:proofErr w:type="spellStart"/>
      <w:r w:rsidR="000E3805">
        <w:rPr>
          <w:sz w:val="24"/>
          <w:szCs w:val="24"/>
        </w:rPr>
        <w:t>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155475">
        <w:rPr>
          <w:sz w:val="24"/>
        </w:rPr>
        <w:t>9</w:t>
      </w:r>
      <w:r w:rsidR="0056262E">
        <w:rPr>
          <w:sz w:val="24"/>
        </w:rPr>
        <w:t xml:space="preserve">. </w:t>
      </w:r>
      <w:r w:rsidR="00155475">
        <w:rPr>
          <w:sz w:val="24"/>
        </w:rPr>
        <w:t>március 30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155475">
        <w:rPr>
          <w:sz w:val="24"/>
        </w:rPr>
        <w:t>9. március 31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</w:t>
      </w:r>
      <w:r w:rsidR="00AE1F88">
        <w:rPr>
          <w:sz w:val="24"/>
        </w:rPr>
        <w:t>8</w:t>
      </w:r>
      <w:r w:rsidR="00FF114E">
        <w:rPr>
          <w:sz w:val="24"/>
        </w:rPr>
        <w:t>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155475">
        <w:rPr>
          <w:sz w:val="24"/>
        </w:rPr>
        <w:t>9</w:t>
      </w:r>
      <w:r w:rsidR="006005DD">
        <w:rPr>
          <w:sz w:val="24"/>
        </w:rPr>
        <w:t xml:space="preserve">. </w:t>
      </w:r>
      <w:r w:rsidR="00155475">
        <w:rPr>
          <w:sz w:val="24"/>
        </w:rPr>
        <w:t>március 28.</w:t>
      </w: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r>
        <w:t xml:space="preserve">dr.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  <w:t>polgármester</w:t>
      </w:r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155475">
        <w:rPr>
          <w:sz w:val="24"/>
        </w:rPr>
        <w:t>9</w:t>
      </w:r>
      <w:r w:rsidR="006005DD">
        <w:rPr>
          <w:sz w:val="24"/>
        </w:rPr>
        <w:t xml:space="preserve">. </w:t>
      </w:r>
      <w:r w:rsidR="00155475">
        <w:rPr>
          <w:sz w:val="24"/>
        </w:rPr>
        <w:t>március 29.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jegyző</w:t>
      </w:r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46CD8"/>
    <w:rsid w:val="0006154A"/>
    <w:rsid w:val="000738B9"/>
    <w:rsid w:val="000772D2"/>
    <w:rsid w:val="00077440"/>
    <w:rsid w:val="00082EE3"/>
    <w:rsid w:val="00090B81"/>
    <w:rsid w:val="00092A54"/>
    <w:rsid w:val="00093778"/>
    <w:rsid w:val="000A0F11"/>
    <w:rsid w:val="000A5593"/>
    <w:rsid w:val="000A58AD"/>
    <w:rsid w:val="000A58F3"/>
    <w:rsid w:val="000B4A9D"/>
    <w:rsid w:val="000C3B5D"/>
    <w:rsid w:val="000D3432"/>
    <w:rsid w:val="000D3A0A"/>
    <w:rsid w:val="000E3805"/>
    <w:rsid w:val="000F1720"/>
    <w:rsid w:val="001077B9"/>
    <w:rsid w:val="00121036"/>
    <w:rsid w:val="0014637E"/>
    <w:rsid w:val="00150E97"/>
    <w:rsid w:val="001513C0"/>
    <w:rsid w:val="00152E67"/>
    <w:rsid w:val="00155475"/>
    <w:rsid w:val="0017374E"/>
    <w:rsid w:val="00181B2A"/>
    <w:rsid w:val="00191ECD"/>
    <w:rsid w:val="001C3E4E"/>
    <w:rsid w:val="001D1443"/>
    <w:rsid w:val="001D3EE1"/>
    <w:rsid w:val="002122B6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D2A55"/>
    <w:rsid w:val="002E29C1"/>
    <w:rsid w:val="002E7D5E"/>
    <w:rsid w:val="002F15E5"/>
    <w:rsid w:val="00311049"/>
    <w:rsid w:val="003204A9"/>
    <w:rsid w:val="00330F6C"/>
    <w:rsid w:val="0033430F"/>
    <w:rsid w:val="00340538"/>
    <w:rsid w:val="0034227C"/>
    <w:rsid w:val="00360976"/>
    <w:rsid w:val="00361238"/>
    <w:rsid w:val="003862B6"/>
    <w:rsid w:val="003B2C8C"/>
    <w:rsid w:val="003D1F88"/>
    <w:rsid w:val="003E2B3C"/>
    <w:rsid w:val="003E775B"/>
    <w:rsid w:val="003F41B3"/>
    <w:rsid w:val="004018E4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E4540"/>
    <w:rsid w:val="004F1794"/>
    <w:rsid w:val="004F6D99"/>
    <w:rsid w:val="005040D2"/>
    <w:rsid w:val="005071C3"/>
    <w:rsid w:val="00517759"/>
    <w:rsid w:val="0052338E"/>
    <w:rsid w:val="00523EF6"/>
    <w:rsid w:val="00547DDB"/>
    <w:rsid w:val="0055324E"/>
    <w:rsid w:val="005560E2"/>
    <w:rsid w:val="00560DED"/>
    <w:rsid w:val="0056262E"/>
    <w:rsid w:val="0056327A"/>
    <w:rsid w:val="005668DD"/>
    <w:rsid w:val="00567359"/>
    <w:rsid w:val="00596283"/>
    <w:rsid w:val="005A1950"/>
    <w:rsid w:val="005B1CCE"/>
    <w:rsid w:val="005B3D3E"/>
    <w:rsid w:val="005D1DED"/>
    <w:rsid w:val="005E362B"/>
    <w:rsid w:val="006005DD"/>
    <w:rsid w:val="00612FE8"/>
    <w:rsid w:val="00622F8D"/>
    <w:rsid w:val="00624A0B"/>
    <w:rsid w:val="0063241A"/>
    <w:rsid w:val="00634527"/>
    <w:rsid w:val="006516BC"/>
    <w:rsid w:val="00651D07"/>
    <w:rsid w:val="00652D8A"/>
    <w:rsid w:val="00657025"/>
    <w:rsid w:val="00661971"/>
    <w:rsid w:val="0067264C"/>
    <w:rsid w:val="00675592"/>
    <w:rsid w:val="00682AE9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0411"/>
    <w:rsid w:val="00711D5E"/>
    <w:rsid w:val="00713C5E"/>
    <w:rsid w:val="00717A50"/>
    <w:rsid w:val="00723E98"/>
    <w:rsid w:val="00725E85"/>
    <w:rsid w:val="007465C7"/>
    <w:rsid w:val="0075236B"/>
    <w:rsid w:val="00753792"/>
    <w:rsid w:val="00756F06"/>
    <w:rsid w:val="007604F5"/>
    <w:rsid w:val="00771202"/>
    <w:rsid w:val="00787E06"/>
    <w:rsid w:val="007A10ED"/>
    <w:rsid w:val="007C1974"/>
    <w:rsid w:val="007C5941"/>
    <w:rsid w:val="007D3607"/>
    <w:rsid w:val="007E691A"/>
    <w:rsid w:val="007F08B0"/>
    <w:rsid w:val="00804EA6"/>
    <w:rsid w:val="00807004"/>
    <w:rsid w:val="00807F27"/>
    <w:rsid w:val="00812BBB"/>
    <w:rsid w:val="00815072"/>
    <w:rsid w:val="00816590"/>
    <w:rsid w:val="00823BBA"/>
    <w:rsid w:val="00824A7A"/>
    <w:rsid w:val="0082518A"/>
    <w:rsid w:val="00825431"/>
    <w:rsid w:val="00852873"/>
    <w:rsid w:val="008579EE"/>
    <w:rsid w:val="0086239E"/>
    <w:rsid w:val="00866303"/>
    <w:rsid w:val="00886A22"/>
    <w:rsid w:val="008910EB"/>
    <w:rsid w:val="0089690A"/>
    <w:rsid w:val="008A5290"/>
    <w:rsid w:val="008B2522"/>
    <w:rsid w:val="008C670A"/>
    <w:rsid w:val="008F03D8"/>
    <w:rsid w:val="00907C27"/>
    <w:rsid w:val="0091467C"/>
    <w:rsid w:val="009148F5"/>
    <w:rsid w:val="009251DC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02DC6"/>
    <w:rsid w:val="00A07966"/>
    <w:rsid w:val="00A15CAF"/>
    <w:rsid w:val="00A2066C"/>
    <w:rsid w:val="00A34348"/>
    <w:rsid w:val="00A44CDF"/>
    <w:rsid w:val="00A57ED0"/>
    <w:rsid w:val="00A62AF9"/>
    <w:rsid w:val="00A66C57"/>
    <w:rsid w:val="00A712BA"/>
    <w:rsid w:val="00A71676"/>
    <w:rsid w:val="00A80502"/>
    <w:rsid w:val="00A82B27"/>
    <w:rsid w:val="00AA069D"/>
    <w:rsid w:val="00AA2477"/>
    <w:rsid w:val="00AC4C16"/>
    <w:rsid w:val="00AC7D43"/>
    <w:rsid w:val="00AD764E"/>
    <w:rsid w:val="00AE1F88"/>
    <w:rsid w:val="00AE29EF"/>
    <w:rsid w:val="00AF2BD3"/>
    <w:rsid w:val="00AF4480"/>
    <w:rsid w:val="00B03F22"/>
    <w:rsid w:val="00B07F94"/>
    <w:rsid w:val="00B20BB9"/>
    <w:rsid w:val="00B42AAC"/>
    <w:rsid w:val="00B55F38"/>
    <w:rsid w:val="00B77563"/>
    <w:rsid w:val="00B80E3D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15B02"/>
    <w:rsid w:val="00C24461"/>
    <w:rsid w:val="00C33357"/>
    <w:rsid w:val="00C42F7A"/>
    <w:rsid w:val="00C4384F"/>
    <w:rsid w:val="00C536C7"/>
    <w:rsid w:val="00C55503"/>
    <w:rsid w:val="00C64ED4"/>
    <w:rsid w:val="00C778DB"/>
    <w:rsid w:val="00C873E7"/>
    <w:rsid w:val="00CB1ACE"/>
    <w:rsid w:val="00CC62D9"/>
    <w:rsid w:val="00CE28C3"/>
    <w:rsid w:val="00CF2AFE"/>
    <w:rsid w:val="00D1019A"/>
    <w:rsid w:val="00D1267C"/>
    <w:rsid w:val="00D24444"/>
    <w:rsid w:val="00D265D8"/>
    <w:rsid w:val="00D3533E"/>
    <w:rsid w:val="00D35459"/>
    <w:rsid w:val="00D37050"/>
    <w:rsid w:val="00D37A5E"/>
    <w:rsid w:val="00D443DA"/>
    <w:rsid w:val="00D547C2"/>
    <w:rsid w:val="00D555F7"/>
    <w:rsid w:val="00D64644"/>
    <w:rsid w:val="00D71737"/>
    <w:rsid w:val="00D717B8"/>
    <w:rsid w:val="00D74D81"/>
    <w:rsid w:val="00D763EE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14AE2"/>
    <w:rsid w:val="00E2502F"/>
    <w:rsid w:val="00E4263A"/>
    <w:rsid w:val="00E450F6"/>
    <w:rsid w:val="00E5336D"/>
    <w:rsid w:val="00E54FA3"/>
    <w:rsid w:val="00E617AC"/>
    <w:rsid w:val="00E64086"/>
    <w:rsid w:val="00E64705"/>
    <w:rsid w:val="00E87A64"/>
    <w:rsid w:val="00E91681"/>
    <w:rsid w:val="00E96152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3018B"/>
    <w:rsid w:val="00F3188C"/>
    <w:rsid w:val="00F40BE5"/>
    <w:rsid w:val="00F41437"/>
    <w:rsid w:val="00F45A5D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A5509"/>
    <w:rsid w:val="00FB4EBF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3C49D7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Rcsostblzat">
    <w:name w:val="Table Grid"/>
    <w:basedOn w:val="Normltblzat"/>
    <w:locked/>
    <w:rsid w:val="00F4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4F9-CFAE-4E85-B1A5-EA15C6C1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16</cp:revision>
  <cp:lastPrinted>2018-10-12T07:51:00Z</cp:lastPrinted>
  <dcterms:created xsi:type="dcterms:W3CDTF">2018-12-03T11:07:00Z</dcterms:created>
  <dcterms:modified xsi:type="dcterms:W3CDTF">2019-03-27T14:16:00Z</dcterms:modified>
</cp:coreProperties>
</file>