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1D9" w:rsidRPr="003511D9" w:rsidRDefault="003511D9" w:rsidP="003511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Felsőtárkány Község Önkormányzat Képviselő-testületének</w:t>
      </w:r>
    </w:p>
    <w:p w:rsidR="003511D9" w:rsidRPr="003511D9" w:rsidRDefault="003511D9" w:rsidP="003511D9">
      <w:pPr>
        <w:tabs>
          <w:tab w:val="left" w:pos="267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002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bookmarkStart w:id="0" w:name="_GoBack"/>
      <w:bookmarkEnd w:id="0"/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AC7B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A836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</w:t>
      </w:r>
      <w:r w:rsidR="00AC7B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számú rendelete</w:t>
      </w: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201</w:t>
      </w:r>
      <w:r w:rsidR="00832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költségvetéséről</w:t>
      </w: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11D9" w:rsidRPr="003511D9" w:rsidRDefault="003511D9" w:rsidP="0035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 Község Önkormányzat Képviselő testülete az Alaptörvény 32. cikk (2) bekezdésében meghatározott eredeti jogalkotói hatáskörében, az Alaptörvény 32. cikk (1) bekezdésének f) pontjában meghatározott feladatkörében eljárva az önkormányzat 201</w:t>
      </w:r>
      <w:r w:rsidR="00042FE5">
        <w:rPr>
          <w:rFonts w:ascii="Times New Roman" w:eastAsia="Times New Roman" w:hAnsi="Times New Roman" w:cs="Times New Roman"/>
          <w:sz w:val="24"/>
          <w:szCs w:val="20"/>
          <w:lang w:eastAsia="hu-HU"/>
        </w:rPr>
        <w:t>9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évi költségvetéséről az alábbi rendeletet alkotja: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1. §</w:t>
      </w: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kiterjed Felsőtárkány Község Önkormányzatára (a továbbiakban: Önkormányzat), az önkormányzati hivatalra (a továbbiakban: Közös Hivatal), az önkormányzat fenntartásában álló költségvetési szervekre, az önkormányzat többségi tulajdonában álló gazdasági társaságokra, az önkormányzati támogatásban részesített magánszemélyekre, jogi személyekre és jogi személyiséggel nem rendelkező szervezetekre.</w:t>
      </w:r>
    </w:p>
    <w:p w:rsidR="003511D9" w:rsidRPr="003511D9" w:rsidRDefault="003511D9" w:rsidP="003511D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511D9" w:rsidRPr="003511D9" w:rsidRDefault="003511D9" w:rsidP="003511D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önállóan működő és gazdálkodó szervek külön-külön alkotnak egy-egy címet a (3) bekezdés szerint.</w:t>
      </w:r>
    </w:p>
    <w:p w:rsidR="003511D9" w:rsidRPr="003511D9" w:rsidRDefault="003511D9" w:rsidP="003511D9">
      <w:pPr>
        <w:tabs>
          <w:tab w:val="left" w:pos="567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3511D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Önállóan működő és gazdálkodó költségvetési szervek, intézmények:</w:t>
      </w:r>
    </w:p>
    <w:p w:rsidR="003511D9" w:rsidRPr="003511D9" w:rsidRDefault="003511D9" w:rsidP="003511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815"/>
        <w:gridCol w:w="3420"/>
      </w:tblGrid>
      <w:tr w:rsidR="003511D9" w:rsidRPr="003511D9" w:rsidTr="0034792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CB3622" w:rsidP="0035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 Község Önkormányzata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Felsőtárkány, Fő út 101. </w:t>
            </w:r>
          </w:p>
        </w:tc>
      </w:tr>
      <w:tr w:rsidR="003511D9" w:rsidRPr="003511D9" w:rsidTr="0034792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CB3622" w:rsidP="00351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3511D9"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Felsőtárkányi Közös Önkormányzati Hivatal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Felsőtárkány, Fő út 101.</w:t>
            </w:r>
          </w:p>
        </w:tc>
      </w:tr>
      <w:tr w:rsidR="003511D9" w:rsidRPr="003511D9" w:rsidTr="0034792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CB3622" w:rsidP="00351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3511D9"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B35B34" w:rsidP="003511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Felsőtárkányi Óvoda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B35B34" w:rsidP="003511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Felsőtárkány, Ady Endre utca 59.</w:t>
            </w:r>
          </w:p>
        </w:tc>
      </w:tr>
      <w:tr w:rsidR="003511D9" w:rsidRPr="003511D9" w:rsidTr="0034792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CB3622" w:rsidP="00351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3511D9"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B35B34" w:rsidP="003511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Felsőtárkányi Közművelődési Intézmény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B35B34" w:rsidP="003511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Felsőtárkány, Fő út 350.</w:t>
            </w:r>
          </w:p>
        </w:tc>
      </w:tr>
    </w:tbl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2. §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 Község Önkormányzata a 201</w:t>
      </w:r>
      <w:r w:rsidR="00832589">
        <w:rPr>
          <w:rFonts w:ascii="Times New Roman" w:eastAsia="Times New Roman" w:hAnsi="Times New Roman" w:cs="Times New Roman"/>
          <w:sz w:val="24"/>
          <w:szCs w:val="20"/>
          <w:lang w:eastAsia="hu-HU"/>
        </w:rPr>
        <w:t>9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évi költségvetésének</w:t>
      </w:r>
    </w:p>
    <w:p w:rsidR="003511D9" w:rsidRPr="00CB3622" w:rsidRDefault="003511D9" w:rsidP="00CB3622">
      <w:pPr>
        <w:pStyle w:val="Listaszerbekezds"/>
        <w:keepNext/>
        <w:numPr>
          <w:ilvl w:val="0"/>
          <w:numId w:val="6"/>
        </w:numPr>
        <w:tabs>
          <w:tab w:val="left" w:pos="851"/>
          <w:tab w:val="decimal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bevételi főösszegét</w:t>
      </w: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AC7B3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606.744.760</w:t>
      </w: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Ft-ban,</w:t>
      </w:r>
    </w:p>
    <w:p w:rsidR="003511D9" w:rsidRPr="00CB3622" w:rsidRDefault="003511D9" w:rsidP="00CB3622">
      <w:pPr>
        <w:pStyle w:val="Listaszerbekezds"/>
        <w:numPr>
          <w:ilvl w:val="0"/>
          <w:numId w:val="6"/>
        </w:num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kiadási főösszegét</w:t>
      </w: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AC7B3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606.744.760</w:t>
      </w: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Ft-ban 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állapítja meg.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3. §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(1) Az 2. §-ban megállapított bevételi főösszeget bevételi forrásonként az alábbiak szerint határozza meg:</w:t>
      </w:r>
    </w:p>
    <w:tbl>
      <w:tblPr>
        <w:tblStyle w:val="Rcsostblzat"/>
        <w:tblW w:w="0" w:type="auto"/>
        <w:tblInd w:w="595" w:type="dxa"/>
        <w:tblLook w:val="04A0" w:firstRow="1" w:lastRow="0" w:firstColumn="1" w:lastColumn="0" w:noHBand="0" w:noVBand="1"/>
      </w:tblPr>
      <w:tblGrid>
        <w:gridCol w:w="421"/>
        <w:gridCol w:w="3685"/>
        <w:gridCol w:w="2126"/>
      </w:tblGrid>
      <w:tr w:rsidR="00CB3622" w:rsidRPr="00F50026" w:rsidTr="00CB3622">
        <w:tc>
          <w:tcPr>
            <w:tcW w:w="421" w:type="dxa"/>
          </w:tcPr>
          <w:p w:rsidR="00CB3622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685" w:type="dxa"/>
          </w:tcPr>
          <w:p w:rsidR="00CB3622" w:rsidRPr="00E1296D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Költségvetési támogatás</w:t>
            </w:r>
          </w:p>
        </w:tc>
        <w:tc>
          <w:tcPr>
            <w:tcW w:w="2126" w:type="dxa"/>
          </w:tcPr>
          <w:p w:rsidR="00CB3622" w:rsidRPr="00E1296D" w:rsidRDefault="00AC7B32" w:rsidP="002B51EC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191.942.245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Default="00AE0C10" w:rsidP="00AE0C10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685" w:type="dxa"/>
          </w:tcPr>
          <w:p w:rsidR="00CB3622" w:rsidRPr="00E1296D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bevétel</w:t>
            </w:r>
          </w:p>
        </w:tc>
        <w:tc>
          <w:tcPr>
            <w:tcW w:w="2126" w:type="dxa"/>
          </w:tcPr>
          <w:p w:rsidR="00CB3622" w:rsidRPr="00E1296D" w:rsidRDefault="00AC7B32" w:rsidP="00325D47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272.572.257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Default="00AE0C10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685" w:type="dxa"/>
          </w:tcPr>
          <w:p w:rsidR="00CB3622" w:rsidRPr="00E1296D" w:rsidRDefault="00AE0C10" w:rsidP="00AE0C10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Átvett pénzeszköz</w:t>
            </w:r>
          </w:p>
        </w:tc>
        <w:tc>
          <w:tcPr>
            <w:tcW w:w="2126" w:type="dxa"/>
          </w:tcPr>
          <w:p w:rsidR="00CB3622" w:rsidRPr="00E1296D" w:rsidRDefault="00AC7B32" w:rsidP="00325D47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60.896.112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Pr="00CB3622" w:rsidRDefault="00AE0C10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685" w:type="dxa"/>
          </w:tcPr>
          <w:p w:rsidR="00CB3622" w:rsidRPr="00E1296D" w:rsidRDefault="00E1296D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Intézmények saját bevétele</w:t>
            </w:r>
          </w:p>
        </w:tc>
        <w:tc>
          <w:tcPr>
            <w:tcW w:w="2126" w:type="dxa"/>
          </w:tcPr>
          <w:p w:rsidR="00CB3622" w:rsidRPr="00E1296D" w:rsidRDefault="00AC7B32" w:rsidP="009243DD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19.886.584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Pr="00CB3622" w:rsidRDefault="00AE0C10" w:rsidP="00AE0C10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685" w:type="dxa"/>
          </w:tcPr>
          <w:p w:rsidR="00CB3622" w:rsidRPr="00E1296D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pénzmaradvány</w:t>
            </w:r>
          </w:p>
        </w:tc>
        <w:tc>
          <w:tcPr>
            <w:tcW w:w="2126" w:type="dxa"/>
          </w:tcPr>
          <w:p w:rsidR="00CB3622" w:rsidRPr="00E1296D" w:rsidRDefault="00AC7B32" w:rsidP="00325D47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61.447.562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Pr="00CB3622" w:rsidRDefault="00AE0C10" w:rsidP="00AE0C10">
            <w:pPr>
              <w:keepNext/>
              <w:keepLines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6</w:t>
            </w:r>
            <w:r w:rsidR="00CB362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685" w:type="dxa"/>
          </w:tcPr>
          <w:p w:rsidR="00CB3622" w:rsidRPr="00E1296D" w:rsidRDefault="00CB3622" w:rsidP="00CB3622">
            <w:pPr>
              <w:keepNext/>
              <w:keepLines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E1296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2126" w:type="dxa"/>
          </w:tcPr>
          <w:p w:rsidR="00CB3622" w:rsidRPr="00E1296D" w:rsidRDefault="00552AA7" w:rsidP="002B51EC">
            <w:pPr>
              <w:keepNext/>
              <w:keepLines/>
              <w:jc w:val="right"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606.744.</w:t>
            </w:r>
            <w:r w:rsidR="00904674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760</w:t>
            </w:r>
            <w:r w:rsidR="00CB3622" w:rsidRPr="00E1296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 xml:space="preserve"> Ft</w:t>
            </w:r>
          </w:p>
        </w:tc>
      </w:tr>
    </w:tbl>
    <w:p w:rsidR="003511D9" w:rsidRPr="003511D9" w:rsidRDefault="003511D9" w:rsidP="003511D9">
      <w:pPr>
        <w:keepNext/>
        <w:keepLines/>
        <w:spacing w:after="0" w:line="240" w:lineRule="auto"/>
        <w:outlineLvl w:val="3"/>
        <w:rPr>
          <w:rFonts w:ascii="Cambria" w:eastAsia="Times New Roman" w:hAnsi="Cambria" w:cs="Times New Roman"/>
          <w:b/>
          <w:i/>
          <w:iCs/>
          <w:sz w:val="24"/>
          <w:szCs w:val="24"/>
          <w:lang w:eastAsia="hu-HU"/>
        </w:rPr>
      </w:pP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(2) A bevételi főösszeg fejezetek, címek, alcímek, jogcímek, előirányzati csoportok és kiemelt előirányzatok szerinti megoszlását az 1. sz. melléklet tartalmazza.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(3) Az 2. §-ban meghatározott kiadási főösszeg részletezését az alábbiak szerint határozza meg:</w:t>
      </w:r>
    </w:p>
    <w:p w:rsidR="00CB3622" w:rsidRDefault="00CB3622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Ind w:w="595" w:type="dxa"/>
        <w:tblLook w:val="04A0" w:firstRow="1" w:lastRow="0" w:firstColumn="1" w:lastColumn="0" w:noHBand="0" w:noVBand="1"/>
      </w:tblPr>
      <w:tblGrid>
        <w:gridCol w:w="421"/>
        <w:gridCol w:w="3118"/>
        <w:gridCol w:w="1985"/>
      </w:tblGrid>
      <w:tr w:rsidR="00CB3622" w:rsidRPr="00CB362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118" w:type="dxa"/>
          </w:tcPr>
          <w:p w:rsidR="00CB3622" w:rsidRPr="00CB3622" w:rsidRDefault="00CB3622" w:rsidP="00A56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</w:t>
            </w:r>
            <w:r w:rsidR="00A565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uttatások</w:t>
            </w:r>
          </w:p>
        </w:tc>
        <w:tc>
          <w:tcPr>
            <w:tcW w:w="1985" w:type="dxa"/>
          </w:tcPr>
          <w:p w:rsidR="00CB3622" w:rsidRPr="00CB3622" w:rsidRDefault="00904674" w:rsidP="009243D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200.076.948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CB362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118" w:type="dxa"/>
          </w:tcPr>
          <w:p w:rsidR="00CB3622" w:rsidRPr="00CB3622" w:rsidRDefault="00A56534" w:rsidP="00A56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Munkaadót terh járulékok, s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zociális hozzájárulási adó</w:t>
            </w:r>
          </w:p>
        </w:tc>
        <w:tc>
          <w:tcPr>
            <w:tcW w:w="1985" w:type="dxa"/>
          </w:tcPr>
          <w:p w:rsidR="00CB3622" w:rsidRPr="00CB3622" w:rsidRDefault="00904674" w:rsidP="009243D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39.760.980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E24BE9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985" w:type="dxa"/>
          </w:tcPr>
          <w:p w:rsidR="00CB3622" w:rsidRPr="00E24BE9" w:rsidRDefault="00904674" w:rsidP="00387C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184.250.116</w:t>
            </w:r>
            <w:r w:rsidR="00CB3622" w:rsidRPr="00E24B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1B4F11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Ellátottak pénzbeni juttatása</w:t>
            </w:r>
          </w:p>
        </w:tc>
        <w:tc>
          <w:tcPr>
            <w:tcW w:w="1985" w:type="dxa"/>
          </w:tcPr>
          <w:p w:rsidR="00CB3622" w:rsidRPr="001B4F11" w:rsidRDefault="00904674" w:rsidP="001B4F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8.288.650</w:t>
            </w:r>
            <w:r w:rsidR="00CB3622" w:rsidRPr="001B4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297B7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kiadások</w:t>
            </w:r>
          </w:p>
        </w:tc>
        <w:tc>
          <w:tcPr>
            <w:tcW w:w="1985" w:type="dxa"/>
          </w:tcPr>
          <w:p w:rsidR="00CB3622" w:rsidRPr="00297B72" w:rsidRDefault="00904674" w:rsidP="00297B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71.046.332</w:t>
            </w:r>
            <w:r w:rsidR="00CB3622" w:rsidRPr="00297B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297B7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118" w:type="dxa"/>
          </w:tcPr>
          <w:p w:rsidR="00CB3622" w:rsidRPr="00CB3622" w:rsidRDefault="00A56534" w:rsidP="00A56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célú kiadások, átadott pénzeszközök</w:t>
            </w:r>
          </w:p>
        </w:tc>
        <w:tc>
          <w:tcPr>
            <w:tcW w:w="1985" w:type="dxa"/>
          </w:tcPr>
          <w:p w:rsidR="00CB3622" w:rsidRPr="00297B72" w:rsidRDefault="00904674" w:rsidP="002315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87.667.745</w:t>
            </w:r>
            <w:r w:rsidR="00CB3622" w:rsidRPr="00297B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904674" w:rsidRPr="00297B72" w:rsidTr="00CB3622">
        <w:tc>
          <w:tcPr>
            <w:tcW w:w="421" w:type="dxa"/>
          </w:tcPr>
          <w:p w:rsidR="00904674" w:rsidRDefault="00904674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118" w:type="dxa"/>
          </w:tcPr>
          <w:p w:rsidR="00904674" w:rsidRDefault="00904674" w:rsidP="00A56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Hitelek, kölcsönök nyújtása a törlesztésben</w:t>
            </w:r>
          </w:p>
        </w:tc>
        <w:tc>
          <w:tcPr>
            <w:tcW w:w="1985" w:type="dxa"/>
          </w:tcPr>
          <w:p w:rsidR="00904674" w:rsidRDefault="00904674" w:rsidP="002315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 Ft</w:t>
            </w:r>
          </w:p>
        </w:tc>
      </w:tr>
      <w:tr w:rsidR="00CB3622" w:rsidRPr="00297B72" w:rsidTr="00CB3622">
        <w:tc>
          <w:tcPr>
            <w:tcW w:w="421" w:type="dxa"/>
          </w:tcPr>
          <w:p w:rsidR="00CB3622" w:rsidRPr="00CB3622" w:rsidRDefault="00904674" w:rsidP="00CB3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118" w:type="dxa"/>
          </w:tcPr>
          <w:p w:rsidR="00CB3622" w:rsidRPr="00CB3622" w:rsidRDefault="00CB3622" w:rsidP="00CB3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talék</w:t>
            </w:r>
          </w:p>
        </w:tc>
        <w:tc>
          <w:tcPr>
            <w:tcW w:w="1985" w:type="dxa"/>
          </w:tcPr>
          <w:p w:rsidR="00CB3622" w:rsidRPr="00297B72" w:rsidRDefault="00904674" w:rsidP="002315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15.353.989</w:t>
            </w:r>
            <w:r w:rsidR="00CB3622" w:rsidRPr="00297B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297B72" w:rsidTr="00CB3622">
        <w:tc>
          <w:tcPr>
            <w:tcW w:w="421" w:type="dxa"/>
          </w:tcPr>
          <w:p w:rsidR="00CB3622" w:rsidRPr="00CB3622" w:rsidRDefault="004632ED" w:rsidP="00AA14F1">
            <w:pPr>
              <w:keepNext/>
              <w:keepLines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9</w:t>
            </w:r>
            <w:r w:rsidR="00CB362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keepNext/>
              <w:keepLines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CB362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985" w:type="dxa"/>
          </w:tcPr>
          <w:p w:rsidR="00CB3622" w:rsidRPr="00297B72" w:rsidRDefault="00904674" w:rsidP="00700C51">
            <w:pPr>
              <w:keepNext/>
              <w:keepLines/>
              <w:jc w:val="right"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606.744.760</w:t>
            </w:r>
            <w:r w:rsidR="00CB3622" w:rsidRPr="00297B7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 xml:space="preserve"> Ft</w:t>
            </w:r>
          </w:p>
        </w:tc>
      </w:tr>
    </w:tbl>
    <w:p w:rsidR="003511D9" w:rsidRPr="003511D9" w:rsidRDefault="003511D9" w:rsidP="003511D9">
      <w:pPr>
        <w:keepNext/>
        <w:keepLines/>
        <w:spacing w:after="0" w:line="240" w:lineRule="auto"/>
        <w:outlineLvl w:val="3"/>
        <w:rPr>
          <w:rFonts w:ascii="Cambria" w:eastAsia="Times New Roman" w:hAnsi="Cambria" w:cs="Times New Roman"/>
          <w:b/>
          <w:i/>
          <w:iCs/>
          <w:sz w:val="24"/>
          <w:szCs w:val="24"/>
          <w:lang w:eastAsia="hu-HU"/>
        </w:rPr>
      </w:pPr>
      <w:r w:rsidRPr="003511D9">
        <w:rPr>
          <w:rFonts w:ascii="Cambria" w:eastAsia="Times New Roman" w:hAnsi="Cambria" w:cs="Times New Roman"/>
          <w:b/>
          <w:i/>
          <w:iCs/>
          <w:sz w:val="24"/>
          <w:szCs w:val="24"/>
          <w:lang w:eastAsia="hu-HU"/>
        </w:rPr>
        <w:tab/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(4) A kiadási főösszeg fejezetek, címek, alcímek, jogcímek, előirányzati csoportok és kiemelt előirányzatok szerinti megoszlását az 2. sz. melléklet tartalmazza.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(5) A 2.</w:t>
      </w:r>
      <w:proofErr w:type="gramStart"/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§.-</w:t>
      </w:r>
      <w:proofErr w:type="gramEnd"/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ban megállapított </w:t>
      </w:r>
      <w:r w:rsidR="00A1419B">
        <w:rPr>
          <w:rFonts w:ascii="Times New Roman" w:eastAsia="Times New Roman" w:hAnsi="Times New Roman" w:cs="Times New Roman"/>
          <w:sz w:val="24"/>
          <w:szCs w:val="20"/>
          <w:lang w:eastAsia="hu-HU"/>
        </w:rPr>
        <w:t>606.744.760</w:t>
      </w:r>
      <w:r w:rsidR="00E016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,- 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Ft kiadási főösszeget az alábbiak alapján hagyja jóvá:</w:t>
      </w:r>
    </w:p>
    <w:p w:rsidR="003511D9" w:rsidRPr="003511D9" w:rsidRDefault="00CB3622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a) 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Felsőtárkányi Közös Önkormányzati Hivatal költségvetése                  </w:t>
      </w:r>
      <w:r w:rsidR="00F166C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</w:t>
      </w:r>
      <w:r w:rsidR="00A177DA">
        <w:rPr>
          <w:rFonts w:ascii="Times New Roman" w:eastAsia="Times New Roman" w:hAnsi="Times New Roman" w:cs="Times New Roman"/>
          <w:sz w:val="24"/>
          <w:szCs w:val="20"/>
          <w:lang w:eastAsia="hu-HU"/>
        </w:rPr>
        <w:t>84.828.104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Ft</w:t>
      </w:r>
    </w:p>
    <w:p w:rsidR="003511D9" w:rsidRPr="003511D9" w:rsidRDefault="00CB3622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b) 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Felsőtárkányi Óvoda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       </w:t>
      </w:r>
      <w:r w:rsidR="000A38E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81105A">
        <w:rPr>
          <w:rFonts w:ascii="Times New Roman" w:eastAsia="Times New Roman" w:hAnsi="Times New Roman" w:cs="Times New Roman"/>
          <w:sz w:val="24"/>
          <w:szCs w:val="20"/>
          <w:lang w:eastAsia="hu-HU"/>
        </w:rPr>
        <w:t>95.733.647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Ft</w:t>
      </w:r>
    </w:p>
    <w:p w:rsidR="003511D9" w:rsidRPr="003511D9" w:rsidRDefault="00CB3622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c) 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Felsőtárkányi Közművelődési Intézmény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0A38E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81105A">
        <w:rPr>
          <w:rFonts w:ascii="Times New Roman" w:eastAsia="Times New Roman" w:hAnsi="Times New Roman" w:cs="Times New Roman"/>
          <w:sz w:val="24"/>
          <w:szCs w:val="20"/>
          <w:lang w:eastAsia="hu-HU"/>
        </w:rPr>
        <w:t>56.204.649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Ft</w:t>
      </w:r>
    </w:p>
    <w:p w:rsidR="003511D9" w:rsidRPr="003511D9" w:rsidRDefault="00CB3622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d) 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Felsőtárkány Község Önkormányzata önkormányzati feladat ellátásához kapcsolódó költségvetése                                                                                           </w:t>
      </w:r>
      <w:r w:rsidR="0081105A">
        <w:rPr>
          <w:rFonts w:ascii="Times New Roman" w:eastAsia="Times New Roman" w:hAnsi="Times New Roman" w:cs="Times New Roman"/>
          <w:sz w:val="24"/>
          <w:szCs w:val="20"/>
          <w:lang w:eastAsia="hu-HU"/>
        </w:rPr>
        <w:t>369.978.360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Ft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(6) A 201</w:t>
      </w:r>
      <w:r w:rsidR="00A13769">
        <w:rPr>
          <w:rFonts w:ascii="Times New Roman" w:eastAsia="Times New Roman" w:hAnsi="Times New Roman" w:cs="Times New Roman"/>
          <w:sz w:val="24"/>
          <w:szCs w:val="20"/>
          <w:lang w:eastAsia="hu-HU"/>
        </w:rPr>
        <w:t>9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évi költségvetés bevételeinek és kiadásainak összefoglaló Mérlegét és Pénzforgalmi mérlegét a 3. számú melléklet tartalmazza.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(7) A gördülő tervezés kertében az önkormányzat 20</w:t>
      </w:r>
      <w:r w:rsidR="00A13769">
        <w:rPr>
          <w:rFonts w:ascii="Times New Roman" w:eastAsia="Times New Roman" w:hAnsi="Times New Roman" w:cs="Times New Roman"/>
          <w:sz w:val="24"/>
          <w:szCs w:val="20"/>
          <w:lang w:eastAsia="hu-HU"/>
        </w:rPr>
        <w:t>20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-20</w:t>
      </w:r>
      <w:r w:rsidR="00A56534">
        <w:rPr>
          <w:rFonts w:ascii="Times New Roman" w:eastAsia="Times New Roman" w:hAnsi="Times New Roman" w:cs="Times New Roman"/>
          <w:sz w:val="24"/>
          <w:szCs w:val="20"/>
          <w:lang w:eastAsia="hu-HU"/>
        </w:rPr>
        <w:t>2</w:t>
      </w:r>
      <w:r w:rsidR="00A13769">
        <w:rPr>
          <w:rFonts w:ascii="Times New Roman" w:eastAsia="Times New Roman" w:hAnsi="Times New Roman" w:cs="Times New Roman"/>
          <w:sz w:val="24"/>
          <w:szCs w:val="20"/>
          <w:lang w:eastAsia="hu-HU"/>
        </w:rPr>
        <w:t>2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évekre vona</w:t>
      </w:r>
      <w:r w:rsidR="005640C6">
        <w:rPr>
          <w:rFonts w:ascii="Times New Roman" w:eastAsia="Times New Roman" w:hAnsi="Times New Roman" w:cs="Times New Roman"/>
          <w:sz w:val="24"/>
          <w:szCs w:val="20"/>
          <w:lang w:eastAsia="hu-HU"/>
        </w:rPr>
        <w:t>tkozó várható előirányzatait a 5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számú melléklet tartalmazza.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(8) Az év várható bevételi és kiadási előirányzatainak teljesüléséről az előirányzat felhasználási ütemtervet a 4. számú melléklet tartalmazza.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(9) A Felújítási előirányzatokat célonként, a felhalmozási kiadásokat feladatonként az </w:t>
      </w:r>
      <w:r w:rsidR="005640C6">
        <w:rPr>
          <w:rFonts w:ascii="Times New Roman" w:eastAsia="Times New Roman" w:hAnsi="Times New Roman" w:cs="Times New Roman"/>
          <w:sz w:val="24"/>
          <w:szCs w:val="20"/>
          <w:lang w:eastAsia="hu-HU"/>
        </w:rPr>
        <w:t>6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számú melléklet tartalmazza.</w:t>
      </w:r>
    </w:p>
    <w:p w:rsidR="003511D9" w:rsidRPr="003511D9" w:rsidRDefault="003511D9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(10) Az önkormányzat polgármesterének az átmeneti gazdálkodásról szóló elszámolását a 7. számú melléklet.</w:t>
      </w:r>
    </w:p>
    <w:p w:rsidR="003511D9" w:rsidRPr="003511D9" w:rsidRDefault="003511D9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(11) A Képviselő- testület a közvetett támogatások tekintetében az alábbiakat hagyja jóvá:</w:t>
      </w:r>
    </w:p>
    <w:p w:rsidR="003511D9" w:rsidRPr="003511D9" w:rsidRDefault="00CB3622" w:rsidP="001F4E0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a)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Adókedvezmény az önkormányzati adórendeletekben nem szerepel, adómérséklést a költségvetésben nem terveztünk.</w:t>
      </w:r>
    </w:p>
    <w:p w:rsidR="003511D9" w:rsidRPr="003511D9" w:rsidRDefault="00CB3622" w:rsidP="001F4E0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b)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Ellátottak térítési díjának</w:t>
      </w:r>
      <w:r w:rsidR="007208CE">
        <w:rPr>
          <w:rFonts w:ascii="Times New Roman" w:eastAsia="Times New Roman" w:hAnsi="Times New Roman" w:cs="Times New Roman"/>
          <w:sz w:val="24"/>
          <w:szCs w:val="20"/>
          <w:lang w:eastAsia="hu-HU"/>
        </w:rPr>
        <w:t>,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illetve kártérítésének méltányossági alapon történő elengedését, valamint egyéb kedvezményeket nem alkalmazunk.</w:t>
      </w:r>
    </w:p>
    <w:p w:rsidR="003511D9" w:rsidRPr="003511D9" w:rsidRDefault="003511D9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40C6" w:rsidRDefault="005640C6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40C6" w:rsidRDefault="005640C6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4. §</w:t>
      </w: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(1)</w:t>
      </w:r>
      <w:r w:rsidR="001F4E0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A rendelet hatálya kiterjed az Önkormányzatra, valamint költségvetési szerveire.</w:t>
      </w:r>
    </w:p>
    <w:p w:rsidR="003511D9" w:rsidRPr="003511D9" w:rsidRDefault="003511D9" w:rsidP="003511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(2) Az Önkormányzat költségvetési szervei:</w:t>
      </w:r>
    </w:p>
    <w:p w:rsidR="003511D9" w:rsidRPr="00CB3622" w:rsidRDefault="003511D9" w:rsidP="00CB3622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Felsőtárkányi Közös Önkormányzati Hivatal</w:t>
      </w:r>
    </w:p>
    <w:p w:rsidR="003511D9" w:rsidRPr="00CB3622" w:rsidRDefault="003511D9" w:rsidP="00CB3622">
      <w:pPr>
        <w:pStyle w:val="Listaszerbekezds"/>
        <w:keepNext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Felsőtárkányi Óvoda</w:t>
      </w:r>
    </w:p>
    <w:p w:rsidR="003511D9" w:rsidRPr="00CB3622" w:rsidRDefault="003511D9" w:rsidP="00CB3622">
      <w:pPr>
        <w:pStyle w:val="Listaszerbekezds"/>
        <w:keepNext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Felsőtárkányi Közművelődési Intézmény </w:t>
      </w:r>
    </w:p>
    <w:p w:rsidR="003511D9" w:rsidRPr="00CB3622" w:rsidRDefault="003511D9" w:rsidP="00CB3622">
      <w:pPr>
        <w:pStyle w:val="Listaszerbekezds"/>
        <w:keepNext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>a kijelölt szerv, amely a gazdálkodási feladatok ellátásával megbízásra kerül Felsőtárkányi Közös Önkormányzati Hivatal.</w:t>
      </w:r>
    </w:p>
    <w:p w:rsidR="003511D9" w:rsidRPr="003511D9" w:rsidRDefault="003511D9" w:rsidP="003511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melyek az Államháztartásról szóló 2011.évi CXCV. </w:t>
      </w:r>
      <w:proofErr w:type="gramStart"/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törvény  alapján</w:t>
      </w:r>
      <w:proofErr w:type="gramEnd"/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címrendet alkotnak.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5. §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511D9" w:rsidRPr="003511D9" w:rsidRDefault="003511D9" w:rsidP="003511D9">
      <w:pPr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Önkormányzat létszámkeretét a képviselőtestület a 2. számú mellékletben feltüntetettek szerint állapítja meg.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511D9" w:rsidRPr="00E1296D" w:rsidRDefault="003511D9" w:rsidP="003511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közszolgálati tisztviselők </w:t>
      </w:r>
      <w:r w:rsidR="003A0B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polgármester </w:t>
      </w: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cafetéria - juttatásának éves összege: </w:t>
      </w:r>
      <w:proofErr w:type="gramStart"/>
      <w:r w:rsidR="00502918"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200</w:t>
      </w: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02918"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,-</w:t>
      </w:r>
      <w:proofErr w:type="gramEnd"/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Ft, mely fedezetet biztosít az egyes juttatásokhoz kapcsolódó, a juttatást teljesítő munkáltatót terhelő közterhek megfizetésére is.</w:t>
      </w:r>
    </w:p>
    <w:p w:rsidR="003511D9" w:rsidRPr="00E1296D" w:rsidRDefault="003511D9" w:rsidP="0035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E129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közalkalmazottak, munkatörvénykönyves munkavállalók (kivéve a köz</w:t>
      </w:r>
      <w:r w:rsidR="007208C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foglalkoztatottakat) </w:t>
      </w:r>
      <w:r w:rsidR="007208CE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kedvezményes adózású béren kívüli pénzjuttatás</w:t>
      </w: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ának éves összege: </w:t>
      </w:r>
      <w:proofErr w:type="gramStart"/>
      <w:r w:rsidR="007208CE">
        <w:rPr>
          <w:rFonts w:ascii="Times New Roman" w:eastAsia="Times New Roman" w:hAnsi="Times New Roman" w:cs="Times New Roman"/>
          <w:sz w:val="24"/>
          <w:szCs w:val="24"/>
          <w:lang w:eastAsia="hu-HU"/>
        </w:rPr>
        <w:t>100</w:t>
      </w: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.000,-</w:t>
      </w:r>
      <w:proofErr w:type="gramEnd"/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Ft, mely után az önkormányzat fizeti az egyes juttatásokhoz kapcsolódó, a juttatást teljesítő munkáltatót</w:t>
      </w: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terhelő közterheket.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6. §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E56DE" w:rsidRPr="00FD7F8A" w:rsidRDefault="00FD7F8A" w:rsidP="00FD7F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(1) </w:t>
      </w:r>
      <w:r w:rsidR="003511D9" w:rsidRPr="00FD7F8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Felsőtárkány Község Polgármestere </w:t>
      </w:r>
      <w:r w:rsidR="004E56DE" w:rsidRPr="00FD7F8A">
        <w:rPr>
          <w:rFonts w:ascii="Times New Roman" w:eastAsia="Times New Roman" w:hAnsi="Times New Roman" w:cs="Times New Roman"/>
          <w:sz w:val="24"/>
          <w:szCs w:val="20"/>
          <w:lang w:eastAsia="hu-HU"/>
        </w:rPr>
        <w:t>5</w:t>
      </w:r>
      <w:r w:rsidR="003511D9" w:rsidRPr="00FD7F8A">
        <w:rPr>
          <w:rFonts w:ascii="Times New Roman" w:eastAsia="Times New Roman" w:hAnsi="Times New Roman" w:cs="Times New Roman"/>
          <w:sz w:val="24"/>
          <w:szCs w:val="20"/>
          <w:lang w:eastAsia="hu-HU"/>
        </w:rPr>
        <w:t>00.000,- Ft-ig vállalhat kötelezettséget a költségvetésben biztosít</w:t>
      </w:r>
      <w:r w:rsidR="004E56DE" w:rsidRPr="00FD7F8A">
        <w:rPr>
          <w:rFonts w:ascii="Times New Roman" w:eastAsia="Times New Roman" w:hAnsi="Times New Roman" w:cs="Times New Roman"/>
          <w:sz w:val="24"/>
          <w:szCs w:val="20"/>
          <w:lang w:eastAsia="hu-HU"/>
        </w:rPr>
        <w:t>ott felhasználási kereten belül: a</w:t>
      </w:r>
      <w:r w:rsidR="004E56DE" w:rsidRPr="00FD7F8A">
        <w:rPr>
          <w:sz w:val="24"/>
          <w:szCs w:val="24"/>
        </w:rPr>
        <w:t xml:space="preserve"> </w:t>
      </w:r>
      <w:r w:rsidR="004E56DE" w:rsidRPr="00FD7F8A">
        <w:rPr>
          <w:rFonts w:ascii="Times New Roman" w:hAnsi="Times New Roman" w:cs="Times New Roman"/>
          <w:sz w:val="24"/>
          <w:szCs w:val="24"/>
        </w:rPr>
        <w:t>Képviselő-testület előzetes tájékoztatását követően a beruházási előkészítő munkák, és a karbantartási munkák megrendelésénél.</w:t>
      </w:r>
    </w:p>
    <w:p w:rsidR="003511D9" w:rsidRPr="003511D9" w:rsidRDefault="003511D9" w:rsidP="0035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FD7F8A" w:rsidP="00FD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(2)  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költségvetésben szereplő előirányzatokon túl csak:</w:t>
      </w:r>
    </w:p>
    <w:p w:rsidR="003511D9" w:rsidRPr="00CB3622" w:rsidRDefault="003511D9" w:rsidP="00CB3622">
      <w:pPr>
        <w:pStyle w:val="Listaszerbekezds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>közvetlen életveszély</w:t>
      </w:r>
    </w:p>
    <w:p w:rsidR="003511D9" w:rsidRPr="00CB3622" w:rsidRDefault="003511D9" w:rsidP="00CB3622">
      <w:pPr>
        <w:pStyle w:val="Listaszerbekezds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>intézmény működésének akadályoztatása</w:t>
      </w:r>
    </w:p>
    <w:p w:rsidR="00FD7F8A" w:rsidRDefault="003511D9" w:rsidP="0076323D">
      <w:pPr>
        <w:pStyle w:val="Listaszerbekezds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D7F8A">
        <w:rPr>
          <w:rFonts w:ascii="Times New Roman" w:eastAsia="Times New Roman" w:hAnsi="Times New Roman" w:cs="Times New Roman"/>
          <w:sz w:val="24"/>
          <w:szCs w:val="20"/>
          <w:lang w:eastAsia="hu-HU"/>
        </w:rPr>
        <w:t>azonnali intézkedést igénylő ügyek esetén</w:t>
      </w:r>
    </w:p>
    <w:p w:rsidR="003511D9" w:rsidRPr="00FD7F8A" w:rsidRDefault="0076323D" w:rsidP="00FD7F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D7F8A">
        <w:rPr>
          <w:rFonts w:ascii="Times New Roman" w:hAnsi="Times New Roman" w:cs="Times New Roman"/>
          <w:sz w:val="24"/>
          <w:szCs w:val="24"/>
        </w:rPr>
        <w:t xml:space="preserve"> a Polgármester kötelezettségvállalása</w:t>
      </w:r>
      <w:r w:rsidRPr="00FD7F8A">
        <w:rPr>
          <w:sz w:val="24"/>
          <w:szCs w:val="24"/>
        </w:rPr>
        <w:t xml:space="preserve"> </w:t>
      </w:r>
      <w:r w:rsidRPr="00FD7F8A">
        <w:rPr>
          <w:rFonts w:ascii="Times New Roman" w:hAnsi="Times New Roman" w:cs="Times New Roman"/>
          <w:sz w:val="24"/>
          <w:szCs w:val="24"/>
        </w:rPr>
        <w:t>500 000,- Ft-ig terjedhet</w:t>
      </w:r>
      <w:r w:rsidR="00FD7F8A">
        <w:rPr>
          <w:rFonts w:ascii="Times New Roman" w:hAnsi="Times New Roman" w:cs="Times New Roman"/>
          <w:sz w:val="24"/>
          <w:szCs w:val="24"/>
        </w:rPr>
        <w:t xml:space="preserve"> a költségvetési tartalék terhére</w:t>
      </w:r>
      <w:r w:rsidRPr="00FD7F8A">
        <w:rPr>
          <w:rFonts w:ascii="Times New Roman" w:hAnsi="Times New Roman" w:cs="Times New Roman"/>
          <w:sz w:val="24"/>
          <w:szCs w:val="24"/>
        </w:rPr>
        <w:t>.</w:t>
      </w:r>
    </w:p>
    <w:p w:rsidR="003511D9" w:rsidRPr="003511D9" w:rsidRDefault="003511D9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7. §</w:t>
      </w: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FE1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szintű költségvetés végrehajtásáért a polgármester, a könyvvezetéssel kapcsolatos feladatok ellátásáért a jegyző a felelős.</w:t>
      </w:r>
    </w:p>
    <w:p w:rsidR="001F4E0D" w:rsidRDefault="001F4E0D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gazdálkodásának biztonságáért a képviselő-testület, a gazdálkodás szabályszerűségéért a polgármester felelős.</w:t>
      </w: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B36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bevételeinek és kiadásainak módosításáról, a kiadási előirányzatok közötti átcsoportosításról a képviselő-testület dönt.</w:t>
      </w: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</w:t>
      </w:r>
      <w:r w:rsidR="00CB36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költségvetési szervek ellenőrzése a belső kontrollrendszer keretében valósul meg, melynek létrehozásáért, működtetésért a jegyző felelős.</w:t>
      </w: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Záró rendelkezések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8. §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Ez a rendelet a kihirdetés</w:t>
      </w:r>
      <w:r w:rsidR="0070128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 követő 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nap</w:t>
      </w:r>
      <w:r w:rsidR="0070128A">
        <w:rPr>
          <w:rFonts w:ascii="Times New Roman" w:eastAsia="Times New Roman" w:hAnsi="Times New Roman" w:cs="Times New Roman"/>
          <w:sz w:val="24"/>
          <w:szCs w:val="20"/>
          <w:lang w:eastAsia="hu-HU"/>
        </w:rPr>
        <w:t>on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lép hatályba, de rendelkezéseit 201</w:t>
      </w:r>
      <w:r w:rsidR="00BE362E">
        <w:rPr>
          <w:rFonts w:ascii="Times New Roman" w:eastAsia="Times New Roman" w:hAnsi="Times New Roman" w:cs="Times New Roman"/>
          <w:sz w:val="24"/>
          <w:szCs w:val="20"/>
          <w:lang w:eastAsia="hu-HU"/>
        </w:rPr>
        <w:t>9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január 1. napjától kell alkalmazni.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Felsőtárkány, 201</w:t>
      </w:r>
      <w:r w:rsidR="007774E9">
        <w:rPr>
          <w:rFonts w:ascii="Times New Roman" w:eastAsia="Times New Roman" w:hAnsi="Times New Roman" w:cs="Times New Roman"/>
          <w:sz w:val="24"/>
          <w:szCs w:val="20"/>
          <w:lang w:eastAsia="hu-HU"/>
        </w:rPr>
        <w:t>9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február 1</w:t>
      </w:r>
      <w:r w:rsidR="00BE362E">
        <w:rPr>
          <w:rFonts w:ascii="Times New Roman" w:eastAsia="Times New Roman" w:hAnsi="Times New Roman" w:cs="Times New Roman"/>
          <w:sz w:val="24"/>
          <w:szCs w:val="20"/>
          <w:lang w:eastAsia="hu-HU"/>
        </w:rPr>
        <w:t>4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keepNext/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dr. </w:t>
      </w:r>
      <w:smartTag w:uri="urn:schemas-microsoft-com:office:smarttags" w:element="PersonName">
        <w:smartTagPr>
          <w:attr w:name="ProductID" w:val="Juhász Attila Simon"/>
        </w:smartTagPr>
        <w:r w:rsidRPr="003511D9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>Juhász Attila Simon</w:t>
        </w:r>
      </w:smartTag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Hegyiné Kertész Zsuzsanna</w:t>
      </w:r>
    </w:p>
    <w:p w:rsidR="003511D9" w:rsidRPr="003511D9" w:rsidRDefault="003511D9" w:rsidP="003511D9">
      <w:pPr>
        <w:keepNext/>
        <w:tabs>
          <w:tab w:val="center" w:pos="851"/>
          <w:tab w:val="left" w:pos="5670"/>
          <w:tab w:val="center" w:pos="6521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polgármester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        jegyző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Záradék: 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FE1458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Kihirdetve 201</w:t>
      </w:r>
      <w:r w:rsidR="00D10305">
        <w:rPr>
          <w:rFonts w:ascii="Times New Roman" w:eastAsia="Times New Roman" w:hAnsi="Times New Roman" w:cs="Times New Roman"/>
          <w:sz w:val="24"/>
          <w:szCs w:val="20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. február 1</w:t>
      </w:r>
      <w:r w:rsidR="00BE362E">
        <w:rPr>
          <w:rFonts w:ascii="Times New Roman" w:eastAsia="Times New Roman" w:hAnsi="Times New Roman" w:cs="Times New Roman"/>
          <w:sz w:val="24"/>
          <w:szCs w:val="20"/>
          <w:lang w:eastAsia="hu-HU"/>
        </w:rPr>
        <w:t>5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Hegyiné Kertész Zsuzsanna </w:t>
      </w:r>
    </w:p>
    <w:p w:rsidR="003511D9" w:rsidRPr="003511D9" w:rsidRDefault="003511D9" w:rsidP="003511D9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jegyző</w:t>
      </w:r>
    </w:p>
    <w:p w:rsidR="00372CA8" w:rsidRDefault="00372CA8"/>
    <w:sectPr w:rsidR="00372CA8" w:rsidSect="00CB0BE4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D9" w:rsidRDefault="003511D9" w:rsidP="003511D9">
      <w:pPr>
        <w:spacing w:after="0" w:line="240" w:lineRule="auto"/>
      </w:pPr>
      <w:r>
        <w:separator/>
      </w:r>
    </w:p>
  </w:endnote>
  <w:endnote w:type="continuationSeparator" w:id="0">
    <w:p w:rsidR="003511D9" w:rsidRDefault="003511D9" w:rsidP="0035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D9" w:rsidRDefault="003511D9" w:rsidP="003511D9">
      <w:pPr>
        <w:spacing w:after="0" w:line="240" w:lineRule="auto"/>
      </w:pPr>
      <w:r>
        <w:separator/>
      </w:r>
    </w:p>
  </w:footnote>
  <w:footnote w:type="continuationSeparator" w:id="0">
    <w:p w:rsidR="003511D9" w:rsidRDefault="003511D9" w:rsidP="00351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EFB"/>
    <w:multiLevelType w:val="singleLevel"/>
    <w:tmpl w:val="883A7E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A660229"/>
    <w:multiLevelType w:val="singleLevel"/>
    <w:tmpl w:val="F92810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1B2254E"/>
    <w:multiLevelType w:val="hybridMultilevel"/>
    <w:tmpl w:val="ADA4E408"/>
    <w:lvl w:ilvl="0" w:tplc="FEEEA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3F77"/>
    <w:multiLevelType w:val="hybridMultilevel"/>
    <w:tmpl w:val="0002C6B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057BD4"/>
    <w:multiLevelType w:val="hybridMultilevel"/>
    <w:tmpl w:val="6F5207C0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703421"/>
    <w:multiLevelType w:val="hybridMultilevel"/>
    <w:tmpl w:val="10E0E3E0"/>
    <w:lvl w:ilvl="0" w:tplc="086443E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92A25CD"/>
    <w:multiLevelType w:val="singleLevel"/>
    <w:tmpl w:val="EBE4432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 w15:restartNumberingAfterBreak="0">
    <w:nsid w:val="4C144DD5"/>
    <w:multiLevelType w:val="hybridMultilevel"/>
    <w:tmpl w:val="83DADCB2"/>
    <w:lvl w:ilvl="0" w:tplc="BC76AC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3E21555"/>
    <w:multiLevelType w:val="hybridMultilevel"/>
    <w:tmpl w:val="BC4EA79C"/>
    <w:lvl w:ilvl="0" w:tplc="5E1CF668">
      <w:start w:val="1"/>
      <w:numFmt w:val="lowerLetter"/>
      <w:lvlText w:val="%1)"/>
      <w:lvlJc w:val="left"/>
      <w:pPr>
        <w:ind w:left="121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6F4D300E"/>
    <w:multiLevelType w:val="hybridMultilevel"/>
    <w:tmpl w:val="8CE6EA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D9"/>
    <w:rsid w:val="00024800"/>
    <w:rsid w:val="00042FE5"/>
    <w:rsid w:val="00054944"/>
    <w:rsid w:val="00057CA0"/>
    <w:rsid w:val="000A38E6"/>
    <w:rsid w:val="00157E4E"/>
    <w:rsid w:val="001A3636"/>
    <w:rsid w:val="001B4F11"/>
    <w:rsid w:val="001E444C"/>
    <w:rsid w:val="001F4E0D"/>
    <w:rsid w:val="00231545"/>
    <w:rsid w:val="00281936"/>
    <w:rsid w:val="00297B72"/>
    <w:rsid w:val="002B51EC"/>
    <w:rsid w:val="002E6CD6"/>
    <w:rsid w:val="00325D47"/>
    <w:rsid w:val="003511D9"/>
    <w:rsid w:val="0036071F"/>
    <w:rsid w:val="00372CA8"/>
    <w:rsid w:val="00387C23"/>
    <w:rsid w:val="003A0BB5"/>
    <w:rsid w:val="00411F07"/>
    <w:rsid w:val="00426594"/>
    <w:rsid w:val="004632ED"/>
    <w:rsid w:val="00483449"/>
    <w:rsid w:val="004E56DE"/>
    <w:rsid w:val="00502918"/>
    <w:rsid w:val="00540480"/>
    <w:rsid w:val="00552AA7"/>
    <w:rsid w:val="005640C6"/>
    <w:rsid w:val="005649E4"/>
    <w:rsid w:val="00611663"/>
    <w:rsid w:val="006352FA"/>
    <w:rsid w:val="00700C51"/>
    <w:rsid w:val="0070128A"/>
    <w:rsid w:val="00705A8C"/>
    <w:rsid w:val="007208CE"/>
    <w:rsid w:val="0073424A"/>
    <w:rsid w:val="0076323D"/>
    <w:rsid w:val="007774E9"/>
    <w:rsid w:val="0081105A"/>
    <w:rsid w:val="00827B06"/>
    <w:rsid w:val="00832589"/>
    <w:rsid w:val="008A2790"/>
    <w:rsid w:val="009002CD"/>
    <w:rsid w:val="00904674"/>
    <w:rsid w:val="009243DD"/>
    <w:rsid w:val="00990F36"/>
    <w:rsid w:val="009D57A5"/>
    <w:rsid w:val="00A13769"/>
    <w:rsid w:val="00A1419B"/>
    <w:rsid w:val="00A177DA"/>
    <w:rsid w:val="00A56534"/>
    <w:rsid w:val="00A8364A"/>
    <w:rsid w:val="00AC7B32"/>
    <w:rsid w:val="00AE0C10"/>
    <w:rsid w:val="00B35B34"/>
    <w:rsid w:val="00BE362E"/>
    <w:rsid w:val="00BF6AEB"/>
    <w:rsid w:val="00CB0BE4"/>
    <w:rsid w:val="00CB3622"/>
    <w:rsid w:val="00D10305"/>
    <w:rsid w:val="00D53A00"/>
    <w:rsid w:val="00DD0E3F"/>
    <w:rsid w:val="00DE206F"/>
    <w:rsid w:val="00E01633"/>
    <w:rsid w:val="00E1296D"/>
    <w:rsid w:val="00E24BE9"/>
    <w:rsid w:val="00F050AF"/>
    <w:rsid w:val="00F166CA"/>
    <w:rsid w:val="00F50026"/>
    <w:rsid w:val="00FC0DB8"/>
    <w:rsid w:val="00FD7F8A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C20E5B"/>
  <w15:chartTrackingRefBased/>
  <w15:docId w15:val="{8C0838E1-4F2C-480E-9A23-64157CC8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51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11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511D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B3622"/>
    <w:pPr>
      <w:ind w:left="720"/>
      <w:contextualSpacing/>
    </w:pPr>
  </w:style>
  <w:style w:type="table" w:styleId="Rcsostblzat">
    <w:name w:val="Table Grid"/>
    <w:basedOn w:val="Normltblzat"/>
    <w:uiPriority w:val="39"/>
    <w:rsid w:val="00CB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A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846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Borsóné Juhász Katalin</dc:creator>
  <cp:keywords/>
  <dc:description/>
  <cp:lastModifiedBy>Szepesiné Mátyus Eszter</cp:lastModifiedBy>
  <cp:revision>26</cp:revision>
  <cp:lastPrinted>2015-02-10T13:47:00Z</cp:lastPrinted>
  <dcterms:created xsi:type="dcterms:W3CDTF">2019-01-22T14:36:00Z</dcterms:created>
  <dcterms:modified xsi:type="dcterms:W3CDTF">2019-02-19T11:18:00Z</dcterms:modified>
</cp:coreProperties>
</file>