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D9" w:rsidRPr="003511D9" w:rsidRDefault="003511D9" w:rsidP="003511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Felsőtárkány Község Önkormányzat Képviselő-testületének</w:t>
      </w:r>
    </w:p>
    <w:p w:rsidR="003511D9" w:rsidRPr="003511D9" w:rsidRDefault="003511D9" w:rsidP="003511D9">
      <w:pPr>
        <w:tabs>
          <w:tab w:val="left" w:pos="267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4834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A56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(II.1</w:t>
      </w:r>
      <w:r w:rsidR="00A56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számú rendelete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201</w:t>
      </w:r>
      <w:r w:rsidR="00A5653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évi költségvetéséről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 Képviselő testülete az Alaptörvény 32. cikk (2) bekezdésében meghatározott eredeti jogalkotói hatáskörében, az Alaptörvény 32. cikk (1) bekezdésének f) pontjában meghatározott feladatkörében eljárva az önkormányzat 201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költségvetéséről az alábbi rendeletet alkotja: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1.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Felsőtárkány Község Önkormányzatára (a továbbiakban: Önkormányzat), az önkormányzati hivatalra (a továbbiakban: Közös Hivatal), az önkormányzat fenntartásában álló költségvetési szervekre, az önkormányzat többségi tulajdonában álló gazdasági társaságokra, az önkormányzati támogatásban részesített magánszemélyekre, jogi személyekre és jogi személyiséggel nem rendelkező szervezetekre.</w:t>
      </w:r>
    </w:p>
    <w:p w:rsidR="003511D9" w:rsidRPr="003511D9" w:rsidRDefault="003511D9" w:rsidP="003511D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önállóan működő és gazdálkodó szervek külön-külön alkotnak egy-egy címet a (3) bekezdés szerint.</w:t>
      </w:r>
    </w:p>
    <w:p w:rsidR="003511D9" w:rsidRPr="003511D9" w:rsidRDefault="003511D9" w:rsidP="003511D9">
      <w:pPr>
        <w:tabs>
          <w:tab w:val="left" w:pos="5670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Önállóan működő és gazdálkodó költségvetési szervek, intézmények:</w:t>
      </w:r>
    </w:p>
    <w:p w:rsidR="003511D9" w:rsidRPr="003511D9" w:rsidRDefault="003511D9" w:rsidP="003511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4815"/>
        <w:gridCol w:w="3420"/>
      </w:tblGrid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 Község Önkormányzata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Fő út 101. </w:t>
            </w:r>
          </w:p>
        </w:tc>
      </w:tr>
      <w:tr w:rsidR="003511D9" w:rsidRPr="003511D9" w:rsidTr="0034792F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Közös Önkormányzati Hivatal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101.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Felsőtárkányi Általános Iskola és Alapfokú Művészetoktatási Iskola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157.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 xml:space="preserve">Felsőtárkányi Óvoda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Felsőtárkány, Ady Endre utca 59. </w:t>
            </w:r>
          </w:p>
        </w:tc>
      </w:tr>
      <w:tr w:rsidR="003511D9" w:rsidRPr="003511D9" w:rsidTr="0034792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CB3622" w:rsidP="00351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3511D9"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  <w:t>Felsőtárkányi Közművelődési Intézmény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11D9" w:rsidRPr="003511D9" w:rsidRDefault="003511D9" w:rsidP="003511D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hu-HU"/>
              </w:rPr>
            </w:pPr>
            <w:r w:rsidRPr="003511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Felsőtárkány, Fő út 350.</w:t>
            </w:r>
          </w:p>
        </w:tc>
      </w:tr>
    </w:tbl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2.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 Község Önkormányzata a 201</w:t>
      </w:r>
      <w:r w:rsidR="00AE0C10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költségvetésének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bevételi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1E444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468</w:t>
      </w:r>
      <w:r w:rsidR="00CB0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1E444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750.602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Ft-ban,</w:t>
      </w:r>
    </w:p>
    <w:p w:rsidR="003511D9" w:rsidRPr="00CB3622" w:rsidRDefault="003511D9" w:rsidP="00CB3622">
      <w:pPr>
        <w:pStyle w:val="Listaszerbekezds"/>
        <w:numPr>
          <w:ilvl w:val="0"/>
          <w:numId w:val="6"/>
        </w:num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kiadási főösszegét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="00AE0C1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="001E444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68</w:t>
      </w:r>
      <w:r w:rsidR="00CB0BE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1E444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750.602</w:t>
      </w:r>
      <w:r w:rsidRPr="00CB3622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Ft-ban 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állapítja meg.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3. §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 Az 2. §-ban megállapított bevételi főösszeget bevételi forrásonként az alábbiak szerint határozza meg:</w:t>
      </w: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685"/>
        <w:gridCol w:w="2126"/>
      </w:tblGrid>
      <w:tr w:rsidR="00CB3622" w:rsidRPr="00F50026" w:rsidTr="00CB3622">
        <w:tc>
          <w:tcPr>
            <w:tcW w:w="421" w:type="dxa"/>
          </w:tcPr>
          <w:p w:rsidR="00CB3622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Költségvetési támogatás</w:t>
            </w:r>
          </w:p>
        </w:tc>
        <w:tc>
          <w:tcPr>
            <w:tcW w:w="2126" w:type="dxa"/>
          </w:tcPr>
          <w:p w:rsidR="00CB3622" w:rsidRPr="00E1296D" w:rsidRDefault="001A3636" w:rsidP="00A56534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F5002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F5002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AE0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4.981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Saját bevétel</w:t>
            </w:r>
          </w:p>
        </w:tc>
        <w:tc>
          <w:tcPr>
            <w:tcW w:w="2126" w:type="dxa"/>
          </w:tcPr>
          <w:p w:rsidR="00CB3622" w:rsidRPr="00E1296D" w:rsidRDefault="001E444C" w:rsidP="001E444C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090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Átvett pénzeszköz</w:t>
            </w:r>
          </w:p>
        </w:tc>
        <w:tc>
          <w:tcPr>
            <w:tcW w:w="2126" w:type="dxa"/>
          </w:tcPr>
          <w:p w:rsidR="00CB3622" w:rsidRPr="00E1296D" w:rsidRDefault="001A3636" w:rsidP="001E444C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017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E1296D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Intézmények saját bevétele</w:t>
            </w:r>
          </w:p>
        </w:tc>
        <w:tc>
          <w:tcPr>
            <w:tcW w:w="2126" w:type="dxa"/>
          </w:tcPr>
          <w:p w:rsidR="00CB3622" w:rsidRPr="00E1296D" w:rsidRDefault="001E444C" w:rsidP="001E444C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E1296D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268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421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tabs>
                <w:tab w:val="left" w:pos="851"/>
                <w:tab w:val="decimal" w:pos="56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Előző évi pénzmaradvány</w:t>
            </w:r>
          </w:p>
        </w:tc>
        <w:tc>
          <w:tcPr>
            <w:tcW w:w="2126" w:type="dxa"/>
          </w:tcPr>
          <w:p w:rsidR="00CB3622" w:rsidRPr="00E1296D" w:rsidRDefault="00A56534" w:rsidP="00A56534">
            <w:pPr>
              <w:tabs>
                <w:tab w:val="left" w:pos="851"/>
                <w:tab w:val="decimal" w:pos="567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AE0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1A3636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E0C1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</w:t>
            </w:r>
            <w:r w:rsidR="00CB3622" w:rsidRPr="00E129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F50026" w:rsidTr="00CB3622">
        <w:tc>
          <w:tcPr>
            <w:tcW w:w="421" w:type="dxa"/>
          </w:tcPr>
          <w:p w:rsidR="00CB3622" w:rsidRPr="00CB3622" w:rsidRDefault="00AE0C10" w:rsidP="00AE0C10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</w:t>
            </w:r>
            <w:r w:rsid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685" w:type="dxa"/>
          </w:tcPr>
          <w:p w:rsidR="00CB3622" w:rsidRPr="00E1296D" w:rsidRDefault="00CB3622" w:rsidP="00CB3622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2126" w:type="dxa"/>
          </w:tcPr>
          <w:p w:rsidR="00CB3622" w:rsidRPr="00E1296D" w:rsidRDefault="00AE0C10" w:rsidP="001E444C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4</w:t>
            </w:r>
            <w:r w:rsidR="001E444C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68</w:t>
            </w:r>
            <w:r w:rsidR="00CB0BE4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750.602</w:t>
            </w:r>
            <w:r w:rsidR="00CB3622" w:rsidRPr="00E1296D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(2) A bevételi főösszeg fejezetek, címek, alcímek, jogcímek, előirányzati csoportok és kiemelt előirányzatok szerinti megoszlását az 1.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(3) Az 2. §-ban meghatározott kiadási főösszeg részletezését az alábbiak szerint határozza meg:</w:t>
      </w:r>
    </w:p>
    <w:p w:rsidR="00CB3622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Ind w:w="595" w:type="dxa"/>
        <w:tblLook w:val="04A0" w:firstRow="1" w:lastRow="0" w:firstColumn="1" w:lastColumn="0" w:noHBand="0" w:noVBand="1"/>
      </w:tblPr>
      <w:tblGrid>
        <w:gridCol w:w="421"/>
        <w:gridCol w:w="3118"/>
        <w:gridCol w:w="1985"/>
      </w:tblGrid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118" w:type="dxa"/>
          </w:tcPr>
          <w:p w:rsidR="00CB3622" w:rsidRPr="00CB3622" w:rsidRDefault="00CB3622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Személyi j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uttatások</w:t>
            </w:r>
          </w:p>
        </w:tc>
        <w:tc>
          <w:tcPr>
            <w:tcW w:w="1985" w:type="dxa"/>
          </w:tcPr>
          <w:p w:rsidR="00CB3622" w:rsidRPr="00CB3622" w:rsidRDefault="006352FA" w:rsidP="001E4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785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123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118" w:type="dxa"/>
          </w:tcPr>
          <w:p w:rsidR="00CB3622" w:rsidRPr="00CB3622" w:rsidRDefault="00A56534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Munkaadót terh járulékok, s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zociális hozzájárulási adó</w:t>
            </w:r>
          </w:p>
        </w:tc>
        <w:tc>
          <w:tcPr>
            <w:tcW w:w="1985" w:type="dxa"/>
          </w:tcPr>
          <w:p w:rsidR="00CB3622" w:rsidRPr="00CB3622" w:rsidRDefault="006352FA" w:rsidP="001E4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104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275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Dologi kiadások</w:t>
            </w:r>
          </w:p>
        </w:tc>
        <w:tc>
          <w:tcPr>
            <w:tcW w:w="1985" w:type="dxa"/>
          </w:tcPr>
          <w:p w:rsidR="00CB3622" w:rsidRPr="00CB3622" w:rsidRDefault="006352FA" w:rsidP="001E444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783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1E444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668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Ellátottak pénzbeni juttatása</w:t>
            </w:r>
          </w:p>
        </w:tc>
        <w:tc>
          <w:tcPr>
            <w:tcW w:w="1985" w:type="dxa"/>
          </w:tcPr>
          <w:p w:rsidR="00CB3622" w:rsidRPr="00CB3622" w:rsidRDefault="00827B06" w:rsidP="00827B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008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Felhalmozási kiadások</w:t>
            </w:r>
          </w:p>
        </w:tc>
        <w:tc>
          <w:tcPr>
            <w:tcW w:w="1985" w:type="dxa"/>
          </w:tcPr>
          <w:p w:rsidR="00CB3622" w:rsidRPr="00CB3622" w:rsidRDefault="00827B06" w:rsidP="00827B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21.781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AA1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118" w:type="dxa"/>
          </w:tcPr>
          <w:p w:rsidR="00CB3622" w:rsidRPr="00CB3622" w:rsidRDefault="00A56534" w:rsidP="00A56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célú kiadások, átadott pénzeszközök</w:t>
            </w:r>
          </w:p>
        </w:tc>
        <w:tc>
          <w:tcPr>
            <w:tcW w:w="1985" w:type="dxa"/>
          </w:tcPr>
          <w:p w:rsidR="00CB3622" w:rsidRPr="00CB3622" w:rsidRDefault="00827B06" w:rsidP="00827B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</w:t>
            </w:r>
            <w:r w:rsidR="006352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706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42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CB3622" w:rsidTr="00CB3622">
        <w:tc>
          <w:tcPr>
            <w:tcW w:w="421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3118" w:type="dxa"/>
          </w:tcPr>
          <w:p w:rsidR="00CB3622" w:rsidRPr="00CB3622" w:rsidRDefault="00CB3622" w:rsidP="00CB3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talék</w:t>
            </w:r>
          </w:p>
        </w:tc>
        <w:tc>
          <w:tcPr>
            <w:tcW w:w="1985" w:type="dxa"/>
          </w:tcPr>
          <w:p w:rsidR="00CB3622" w:rsidRPr="00CB3622" w:rsidRDefault="000A38E6" w:rsidP="00827B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827B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6352F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827B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581</w:t>
            </w:r>
            <w:r w:rsidR="00A565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827B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466</w:t>
            </w:r>
            <w:r w:rsidR="00CB3622" w:rsidRPr="00CB36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CB3622" w:rsidRPr="003511D9" w:rsidTr="00CB3622">
        <w:tc>
          <w:tcPr>
            <w:tcW w:w="421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118" w:type="dxa"/>
          </w:tcPr>
          <w:p w:rsidR="00CB3622" w:rsidRPr="00CB3622" w:rsidRDefault="00CB3622" w:rsidP="00AA14F1">
            <w:pPr>
              <w:keepNext/>
              <w:keepLines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985" w:type="dxa"/>
          </w:tcPr>
          <w:p w:rsidR="00CB3622" w:rsidRPr="003511D9" w:rsidRDefault="000A38E6" w:rsidP="00827B06">
            <w:pPr>
              <w:keepNext/>
              <w:keepLines/>
              <w:jc w:val="right"/>
              <w:outlineLvl w:val="3"/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4</w:t>
            </w:r>
            <w:r w:rsidR="00827B06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68</w:t>
            </w:r>
            <w:r w:rsidR="00CB0BE4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  <w:r w:rsidR="00827B06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750</w:t>
            </w:r>
            <w:r w:rsidR="00A56534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.</w:t>
            </w:r>
            <w:r w:rsidR="00827B06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>602</w:t>
            </w:r>
            <w:r w:rsidR="00CB3622" w:rsidRPr="00CB3622">
              <w:rPr>
                <w:rFonts w:ascii="Cambria" w:eastAsia="Times New Roman" w:hAnsi="Cambria" w:cs="Times New Roman"/>
                <w:b/>
                <w:i/>
                <w:iCs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:rsidR="003511D9" w:rsidRPr="003511D9" w:rsidRDefault="003511D9" w:rsidP="003511D9">
      <w:pPr>
        <w:keepNext/>
        <w:keepLines/>
        <w:spacing w:after="0" w:line="240" w:lineRule="auto"/>
        <w:outlineLvl w:val="3"/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</w:pPr>
      <w:r w:rsidRPr="003511D9">
        <w:rPr>
          <w:rFonts w:ascii="Cambria" w:eastAsia="Times New Roman" w:hAnsi="Cambria" w:cs="Times New Roman"/>
          <w:b/>
          <w:i/>
          <w:iCs/>
          <w:sz w:val="24"/>
          <w:szCs w:val="24"/>
          <w:lang w:eastAsia="hu-HU"/>
        </w:rPr>
        <w:tab/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(4) A kiadási főösszeg fejezetek, címek, alcímek, jogcímek, előirányzati csoportok és kiemelt előirányzatok szerinti megoszlását az 2. sz.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(5) A 2.§.-ban megállapított 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68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750.602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 kiadási főösszeget az alábbiak alapján hagyja jóvá: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Közös Önkormányzati Hivatal költségvetése                    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71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934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192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69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19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599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c)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Közművelődési Intézmény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9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872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345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CB3622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d)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Önkormányzata önkormányzati feladat ellátásához kapcsolódó költségvetése                                                                                           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2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8</w:t>
      </w:r>
      <w:r w:rsidR="000A38E6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="008A2790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224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  <w:r w:rsidR="00827B06">
        <w:rPr>
          <w:rFonts w:ascii="Times New Roman" w:eastAsia="Times New Roman" w:hAnsi="Times New Roman" w:cs="Times New Roman"/>
          <w:sz w:val="24"/>
          <w:szCs w:val="20"/>
          <w:lang w:eastAsia="hu-HU"/>
        </w:rPr>
        <w:t>466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Ft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(6) A 201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évi költségvetés bevételeinek és kiadásainak összefoglaló Mérlegét és Pénzforgalmi mérlegét a 3.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(7) A gördülő tervezés kertében az önkormányzat 201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8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-20</w:t>
      </w:r>
      <w:r w:rsidR="00A56534">
        <w:rPr>
          <w:rFonts w:ascii="Times New Roman" w:eastAsia="Times New Roman" w:hAnsi="Times New Roman" w:cs="Times New Roman"/>
          <w:sz w:val="24"/>
          <w:szCs w:val="20"/>
          <w:lang w:eastAsia="hu-HU"/>
        </w:rPr>
        <w:t>20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évekre vona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tkozó várható előirányzatait a 5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851"/>
          <w:tab w:val="decimal" w:pos="567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(8) Az év várható bevételi és kiadási előirányzatainak teljesüléséről az előirányzat felhasználási ütemtervet a 4. számú melléklet tartalmazza.</w:t>
      </w:r>
    </w:p>
    <w:p w:rsidR="003511D9" w:rsidRPr="003511D9" w:rsidRDefault="003511D9" w:rsidP="003511D9">
      <w:pPr>
        <w:tabs>
          <w:tab w:val="left" w:pos="851"/>
          <w:tab w:val="decimal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(9) A Felújítási előirányzatokat célonként, a felhalmozási kiadásokat feladatonként az </w:t>
      </w:r>
      <w:r w:rsidR="005640C6">
        <w:rPr>
          <w:rFonts w:ascii="Times New Roman" w:eastAsia="Times New Roman" w:hAnsi="Times New Roman" w:cs="Times New Roman"/>
          <w:sz w:val="24"/>
          <w:szCs w:val="20"/>
          <w:lang w:eastAsia="hu-HU"/>
        </w:rPr>
        <w:t>6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számú melléklet tartalmazza.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1F4E0D">
      <w:p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(10) Az önkormányzat polgármesterének az átmeneti gazdálkodásról szóló elszámolását a 7. számú melléklet.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(11) A Képviselő- testület a közvetett támogatások tekintetében az alábbiakat hagyja jóvá: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Adókedvezmény az önkormányzati adórendeletekben nem szerepel, adómérséklést a költségvetésben nem terveztünk.</w:t>
      </w:r>
    </w:p>
    <w:p w:rsidR="003511D9" w:rsidRPr="003511D9" w:rsidRDefault="00CB3622" w:rsidP="001F4E0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b)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Ellátottak térítési díjának</w:t>
      </w:r>
      <w:r w:rsidR="007208CE">
        <w:rPr>
          <w:rFonts w:ascii="Times New Roman" w:eastAsia="Times New Roman" w:hAnsi="Times New Roman" w:cs="Times New Roman"/>
          <w:sz w:val="24"/>
          <w:szCs w:val="20"/>
          <w:lang w:eastAsia="hu-HU"/>
        </w:rPr>
        <w:t>,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illetve kártérítésének méltányossági alapon történő elengedését, valamint egyéb kedvezményeket nem alkalmazunk.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40C6" w:rsidRDefault="005640C6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5640C6" w:rsidRDefault="005640C6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4. §</w:t>
      </w: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(1)</w:t>
      </w:r>
      <w:r w:rsidR="001F4E0D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rendelet hatálya kiterjed az Önkormányzatra, valamint költségvetési szerveire.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(2) Az Önkormányzat költségvetési szervei:</w:t>
      </w:r>
    </w:p>
    <w:p w:rsidR="003511D9" w:rsidRPr="00CB3622" w:rsidRDefault="003511D9" w:rsidP="00CB3622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Felsőtárkányi Közös Önkormányzati Hivatal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Felsőtárkányi Óvoda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Felsőtárkányi Közművelődési Intézmény </w:t>
      </w:r>
    </w:p>
    <w:p w:rsidR="003511D9" w:rsidRPr="00CB3622" w:rsidRDefault="003511D9" w:rsidP="00CB3622">
      <w:pPr>
        <w:pStyle w:val="Listaszerbekezds"/>
        <w:keepNext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a kijelölt szerv, amely a gazdálkodási feladatok ellátásával megbízásra kerül Felsőtárkányi Közös Önkormányzati Hivatal.</w:t>
      </w:r>
    </w:p>
    <w:p w:rsidR="003511D9" w:rsidRPr="003511D9" w:rsidRDefault="003511D9" w:rsidP="003511D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melyek az Államháztartásról szóló 2011.évi CXCV. törvény  alapján címrendet alkotnak.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5.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Az Önkormányzat létszámkeretét a képviselőtestület a 2. számú mellékletben feltüntetettek szerint állapítja meg.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E1296D" w:rsidRDefault="003511D9" w:rsidP="003511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közszolgálati tisztviselők cafetéria - juttatásának éves összege: 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200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02918"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000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,- Ft, mely fedezetet biztosít az egyes juttatásokhoz kapcsolódó, a juttatást teljesítő munkáltatót terhelő közterhek megfizetésére is.</w:t>
      </w:r>
    </w:p>
    <w:p w:rsidR="003511D9" w:rsidRPr="00E1296D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1296D" w:rsidRPr="00E1296D" w:rsidRDefault="00E1296D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cafetéria juttatásának éves összege külön egyedi Képviselő-testületi döntésen alapul.</w:t>
      </w:r>
    </w:p>
    <w:p w:rsidR="00E1296D" w:rsidRPr="00E1296D" w:rsidRDefault="00E1296D" w:rsidP="00E1296D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E1296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közalkalmazottak, munkatörvénykönyves munkavállalók (kivéve a köz</w:t>
      </w:r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foglalkoztatottakat) </w:t>
      </w:r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kedvezményes adózású béren kívüli pénzjuttatás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éves összege: </w:t>
      </w:r>
      <w:r w:rsidR="007208CE">
        <w:rPr>
          <w:rFonts w:ascii="Times New Roman" w:eastAsia="Times New Roman" w:hAnsi="Times New Roman" w:cs="Times New Roman"/>
          <w:sz w:val="24"/>
          <w:szCs w:val="24"/>
          <w:lang w:eastAsia="hu-HU"/>
        </w:rPr>
        <w:t>100</w:t>
      </w:r>
      <w:r w:rsidRPr="00E1296D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 Ft, mely után az önkormányzat fizeti az egyes juttatásokhoz kapcsolódó, a juttatást teljesítő munkáltatót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terhelő közterheket.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6.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E56DE" w:rsidRPr="00FD7F8A" w:rsidRDefault="00FD7F8A" w:rsidP="00FD7F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(1) </w:t>
      </w:r>
      <w:r w:rsidR="003511D9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Felsőtárkány Község Polgármestere </w:t>
      </w:r>
      <w:r w:rsidR="004E56DE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="003511D9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00.000,- Ft-ig vállalhat kötelezettséget a költségvetésben biztosít</w:t>
      </w:r>
      <w:r w:rsidR="004E56DE"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ott felhasználási kereten belül: a</w:t>
      </w:r>
      <w:r w:rsidR="004E56DE" w:rsidRPr="00FD7F8A">
        <w:rPr>
          <w:sz w:val="24"/>
          <w:szCs w:val="24"/>
        </w:rPr>
        <w:t xml:space="preserve"> </w:t>
      </w:r>
      <w:r w:rsidR="004E56DE" w:rsidRPr="00FD7F8A">
        <w:rPr>
          <w:rFonts w:ascii="Times New Roman" w:hAnsi="Times New Roman" w:cs="Times New Roman"/>
          <w:sz w:val="24"/>
          <w:szCs w:val="24"/>
        </w:rPr>
        <w:t>Képviselő-testület előzetes tájékoztatását követően a beruházási előkészítő munkák, és a karbantartási munkák megrendelésénél.</w:t>
      </w:r>
    </w:p>
    <w:p w:rsidR="003511D9" w:rsidRPr="003511D9" w:rsidRDefault="003511D9" w:rsidP="00351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FD7F8A" w:rsidP="00FD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(2)  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A költségvetésben szereplő előirányzatokon túl csak: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közvetlen életveszély</w:t>
      </w:r>
    </w:p>
    <w:p w:rsidR="003511D9" w:rsidRPr="00CB3622" w:rsidRDefault="003511D9" w:rsidP="00CB3622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CB3622">
        <w:rPr>
          <w:rFonts w:ascii="Times New Roman" w:eastAsia="Times New Roman" w:hAnsi="Times New Roman" w:cs="Times New Roman"/>
          <w:sz w:val="24"/>
          <w:szCs w:val="20"/>
          <w:lang w:eastAsia="hu-HU"/>
        </w:rPr>
        <w:t>intézmény működésének akadályoztatása</w:t>
      </w:r>
    </w:p>
    <w:p w:rsidR="00FD7F8A" w:rsidRDefault="003511D9" w:rsidP="0076323D">
      <w:pPr>
        <w:pStyle w:val="Listaszerbekezds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8A">
        <w:rPr>
          <w:rFonts w:ascii="Times New Roman" w:eastAsia="Times New Roman" w:hAnsi="Times New Roman" w:cs="Times New Roman"/>
          <w:sz w:val="24"/>
          <w:szCs w:val="20"/>
          <w:lang w:eastAsia="hu-HU"/>
        </w:rPr>
        <w:t>azonnali intézkedést igénylő ügyek esetén</w:t>
      </w:r>
    </w:p>
    <w:p w:rsidR="003511D9" w:rsidRPr="00FD7F8A" w:rsidRDefault="0076323D" w:rsidP="00FD7F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D7F8A">
        <w:rPr>
          <w:rFonts w:ascii="Times New Roman" w:hAnsi="Times New Roman" w:cs="Times New Roman"/>
          <w:sz w:val="24"/>
          <w:szCs w:val="24"/>
        </w:rPr>
        <w:t xml:space="preserve"> a Polgármester kötelezettségvállalása</w:t>
      </w:r>
      <w:r w:rsidRPr="00FD7F8A">
        <w:rPr>
          <w:sz w:val="24"/>
          <w:szCs w:val="24"/>
        </w:rPr>
        <w:t xml:space="preserve"> </w:t>
      </w:r>
      <w:r w:rsidRPr="00FD7F8A">
        <w:rPr>
          <w:rFonts w:ascii="Times New Roman" w:hAnsi="Times New Roman" w:cs="Times New Roman"/>
          <w:sz w:val="24"/>
          <w:szCs w:val="24"/>
        </w:rPr>
        <w:t>500 000,- Ft-ig terjedhet</w:t>
      </w:r>
      <w:r w:rsidR="00FD7F8A">
        <w:rPr>
          <w:rFonts w:ascii="Times New Roman" w:hAnsi="Times New Roman" w:cs="Times New Roman"/>
          <w:sz w:val="24"/>
          <w:szCs w:val="24"/>
        </w:rPr>
        <w:t xml:space="preserve"> a költségvetési tartalék terhére</w:t>
      </w:r>
      <w:r w:rsidRPr="00FD7F8A">
        <w:rPr>
          <w:rFonts w:ascii="Times New Roman" w:hAnsi="Times New Roman" w:cs="Times New Roman"/>
          <w:sz w:val="24"/>
          <w:szCs w:val="24"/>
        </w:rPr>
        <w:t>.</w:t>
      </w:r>
    </w:p>
    <w:p w:rsidR="003511D9" w:rsidRPr="003511D9" w:rsidRDefault="003511D9" w:rsidP="003511D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7. §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 w:rsidR="00FE14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szintű költségvetés végrehajtásáért a polgármester, a könyvvezetéssel kapcsolatos feladatok ellátásáért a jegyző a felelős.</w:t>
      </w:r>
    </w:p>
    <w:p w:rsidR="001F4E0D" w:rsidRDefault="001F4E0D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Önkormányzat gazdálkodásának biztonságáért a képviselő-testület, a gazdálkodás szabályszerűségéért a polgármester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bevételeinek és kiadásainak módosításáról, a kiadási előirányzatok közötti átcsoportosításról a képviselő-testület dönt.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 w:rsidR="00CB36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511D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költségvetési szervek ellenőrzése a belső kontrollrendszer keretében valósul meg, melynek létrehozásáért, működtetésért a jegyző felelős.</w:t>
      </w:r>
    </w:p>
    <w:p w:rsidR="003511D9" w:rsidRPr="003511D9" w:rsidRDefault="003511D9" w:rsidP="003511D9">
      <w:pPr>
        <w:spacing w:after="0" w:line="240" w:lineRule="auto"/>
        <w:ind w:left="283" w:hanging="28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Záró rendelkezések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8. §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Ez a rendelet a kihirdetés</w:t>
      </w:r>
      <w:r w:rsidR="0070128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követő 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nap</w:t>
      </w:r>
      <w:r w:rsidR="0070128A">
        <w:rPr>
          <w:rFonts w:ascii="Times New Roman" w:eastAsia="Times New Roman" w:hAnsi="Times New Roman" w:cs="Times New Roman"/>
          <w:sz w:val="24"/>
          <w:szCs w:val="20"/>
          <w:lang w:eastAsia="hu-HU"/>
        </w:rPr>
        <w:t>on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lép hatályba, de rendelkezéseit 201</w:t>
      </w:r>
      <w:r w:rsidR="0076323D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január 1. napjától kell alkalmazni.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bookmarkEnd w:id="0"/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Felsőtárkány, 201</w:t>
      </w:r>
      <w:r w:rsidR="0076323D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76323D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tabs>
          <w:tab w:val="left" w:pos="567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dr. </w:t>
      </w:r>
      <w:smartTag w:uri="urn:schemas-microsoft-com:office:smarttags" w:element="PersonName">
        <w:smartTagPr>
          <w:attr w:name="ProductID" w:val="Juhász Attila Simon"/>
        </w:smartTagPr>
        <w:r w:rsidRPr="003511D9">
          <w:rPr>
            <w:rFonts w:ascii="Times New Roman" w:eastAsia="Times New Roman" w:hAnsi="Times New Roman" w:cs="Times New Roman"/>
            <w:sz w:val="24"/>
            <w:szCs w:val="20"/>
            <w:lang w:eastAsia="hu-HU"/>
          </w:rPr>
          <w:t>Juhász Attila Simon</w:t>
        </w:r>
      </w:smartTag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Hegyiné Kertész Zsuzsanna</w:t>
      </w:r>
    </w:p>
    <w:p w:rsidR="003511D9" w:rsidRPr="003511D9" w:rsidRDefault="003511D9" w:rsidP="003511D9">
      <w:pPr>
        <w:keepNext/>
        <w:tabs>
          <w:tab w:val="center" w:pos="851"/>
          <w:tab w:val="left" w:pos="5670"/>
          <w:tab w:val="center" w:pos="652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polgármester</w:t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             jegyző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 xml:space="preserve">Záradék: 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FE1458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Kihirdetve 201</w:t>
      </w:r>
      <w:r w:rsidR="0076323D">
        <w:rPr>
          <w:rFonts w:ascii="Times New Roman" w:eastAsia="Times New Roman" w:hAnsi="Times New Roman" w:cs="Times New Roman"/>
          <w:sz w:val="24"/>
          <w:szCs w:val="20"/>
          <w:lang w:eastAsia="hu-HU"/>
        </w:rPr>
        <w:t>7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február 1</w:t>
      </w:r>
      <w:r w:rsidR="0076323D">
        <w:rPr>
          <w:rFonts w:ascii="Times New Roman" w:eastAsia="Times New Roman" w:hAnsi="Times New Roman" w:cs="Times New Roman"/>
          <w:sz w:val="24"/>
          <w:szCs w:val="20"/>
          <w:lang w:eastAsia="hu-HU"/>
        </w:rPr>
        <w:t>5</w:t>
      </w:r>
      <w:r w:rsidR="003511D9"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511D9" w:rsidRPr="003511D9" w:rsidRDefault="003511D9" w:rsidP="00351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Hegyiné Kertész Zsuzsanna </w:t>
      </w:r>
    </w:p>
    <w:p w:rsidR="003511D9" w:rsidRPr="003511D9" w:rsidRDefault="003511D9" w:rsidP="003511D9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3511D9">
        <w:rPr>
          <w:rFonts w:ascii="Times New Roman" w:eastAsia="Times New Roman" w:hAnsi="Times New Roman" w:cs="Times New Roman"/>
          <w:sz w:val="24"/>
          <w:szCs w:val="20"/>
          <w:lang w:eastAsia="hu-HU"/>
        </w:rPr>
        <w:t>jegyző</w:t>
      </w:r>
    </w:p>
    <w:p w:rsidR="00372CA8" w:rsidRDefault="00372CA8"/>
    <w:sectPr w:rsidR="00372CA8" w:rsidSect="00CB0BE4"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1D9" w:rsidRDefault="003511D9" w:rsidP="003511D9">
      <w:pPr>
        <w:spacing w:after="0" w:line="240" w:lineRule="auto"/>
      </w:pPr>
      <w:r>
        <w:separator/>
      </w:r>
    </w:p>
  </w:endnote>
  <w:end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1D9" w:rsidRDefault="003511D9" w:rsidP="003511D9">
      <w:pPr>
        <w:spacing w:after="0" w:line="240" w:lineRule="auto"/>
      </w:pPr>
      <w:r>
        <w:separator/>
      </w:r>
    </w:p>
  </w:footnote>
  <w:footnote w:type="continuationSeparator" w:id="0">
    <w:p w:rsidR="003511D9" w:rsidRDefault="003511D9" w:rsidP="00351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EFB"/>
    <w:multiLevelType w:val="singleLevel"/>
    <w:tmpl w:val="883A7E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660229"/>
    <w:multiLevelType w:val="singleLevel"/>
    <w:tmpl w:val="F92810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1B2254E"/>
    <w:multiLevelType w:val="hybridMultilevel"/>
    <w:tmpl w:val="ADA4E408"/>
    <w:lvl w:ilvl="0" w:tplc="FEEEA4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F77"/>
    <w:multiLevelType w:val="hybridMultilevel"/>
    <w:tmpl w:val="0002C6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057BD4"/>
    <w:multiLevelType w:val="hybridMultilevel"/>
    <w:tmpl w:val="6F5207C0"/>
    <w:lvl w:ilvl="0" w:tplc="040E0017">
      <w:start w:val="1"/>
      <w:numFmt w:val="lowerLetter"/>
      <w:lvlText w:val="%1)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703421"/>
    <w:multiLevelType w:val="hybridMultilevel"/>
    <w:tmpl w:val="10E0E3E0"/>
    <w:lvl w:ilvl="0" w:tplc="086443E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92A25CD"/>
    <w:multiLevelType w:val="singleLevel"/>
    <w:tmpl w:val="EBE4432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7" w15:restartNumberingAfterBreak="0">
    <w:nsid w:val="4C144DD5"/>
    <w:multiLevelType w:val="hybridMultilevel"/>
    <w:tmpl w:val="83DADCB2"/>
    <w:lvl w:ilvl="0" w:tplc="BC76AC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3E21555"/>
    <w:multiLevelType w:val="hybridMultilevel"/>
    <w:tmpl w:val="BC4EA79C"/>
    <w:lvl w:ilvl="0" w:tplc="5E1CF668">
      <w:start w:val="1"/>
      <w:numFmt w:val="lowerLetter"/>
      <w:lvlText w:val="%1)"/>
      <w:lvlJc w:val="left"/>
      <w:pPr>
        <w:ind w:left="121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935" w:hanging="360"/>
      </w:pPr>
    </w:lvl>
    <w:lvl w:ilvl="2" w:tplc="040E001B" w:tentative="1">
      <w:start w:val="1"/>
      <w:numFmt w:val="lowerRoman"/>
      <w:lvlText w:val="%3."/>
      <w:lvlJc w:val="right"/>
      <w:pPr>
        <w:ind w:left="2655" w:hanging="180"/>
      </w:pPr>
    </w:lvl>
    <w:lvl w:ilvl="3" w:tplc="040E000F" w:tentative="1">
      <w:start w:val="1"/>
      <w:numFmt w:val="decimal"/>
      <w:lvlText w:val="%4."/>
      <w:lvlJc w:val="left"/>
      <w:pPr>
        <w:ind w:left="3375" w:hanging="360"/>
      </w:pPr>
    </w:lvl>
    <w:lvl w:ilvl="4" w:tplc="040E0019" w:tentative="1">
      <w:start w:val="1"/>
      <w:numFmt w:val="lowerLetter"/>
      <w:lvlText w:val="%5."/>
      <w:lvlJc w:val="left"/>
      <w:pPr>
        <w:ind w:left="4095" w:hanging="360"/>
      </w:pPr>
    </w:lvl>
    <w:lvl w:ilvl="5" w:tplc="040E001B" w:tentative="1">
      <w:start w:val="1"/>
      <w:numFmt w:val="lowerRoman"/>
      <w:lvlText w:val="%6."/>
      <w:lvlJc w:val="right"/>
      <w:pPr>
        <w:ind w:left="4815" w:hanging="180"/>
      </w:pPr>
    </w:lvl>
    <w:lvl w:ilvl="6" w:tplc="040E000F" w:tentative="1">
      <w:start w:val="1"/>
      <w:numFmt w:val="decimal"/>
      <w:lvlText w:val="%7."/>
      <w:lvlJc w:val="left"/>
      <w:pPr>
        <w:ind w:left="5535" w:hanging="360"/>
      </w:pPr>
    </w:lvl>
    <w:lvl w:ilvl="7" w:tplc="040E0019" w:tentative="1">
      <w:start w:val="1"/>
      <w:numFmt w:val="lowerLetter"/>
      <w:lvlText w:val="%8."/>
      <w:lvlJc w:val="left"/>
      <w:pPr>
        <w:ind w:left="6255" w:hanging="360"/>
      </w:pPr>
    </w:lvl>
    <w:lvl w:ilvl="8" w:tplc="040E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F4D300E"/>
    <w:multiLevelType w:val="hybridMultilevel"/>
    <w:tmpl w:val="8CE6EA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9"/>
    <w:rsid w:val="00054944"/>
    <w:rsid w:val="000A38E6"/>
    <w:rsid w:val="001A3636"/>
    <w:rsid w:val="001E444C"/>
    <w:rsid w:val="001F4E0D"/>
    <w:rsid w:val="003511D9"/>
    <w:rsid w:val="00372CA8"/>
    <w:rsid w:val="00411F07"/>
    <w:rsid w:val="00483449"/>
    <w:rsid w:val="004E56DE"/>
    <w:rsid w:val="00502918"/>
    <w:rsid w:val="005640C6"/>
    <w:rsid w:val="006352FA"/>
    <w:rsid w:val="0070128A"/>
    <w:rsid w:val="007208CE"/>
    <w:rsid w:val="0076323D"/>
    <w:rsid w:val="00827B06"/>
    <w:rsid w:val="008A2790"/>
    <w:rsid w:val="00A56534"/>
    <w:rsid w:val="00AE0C10"/>
    <w:rsid w:val="00BF6AEB"/>
    <w:rsid w:val="00CB0BE4"/>
    <w:rsid w:val="00CB3622"/>
    <w:rsid w:val="00DD0E3F"/>
    <w:rsid w:val="00E1296D"/>
    <w:rsid w:val="00F50026"/>
    <w:rsid w:val="00FD7F8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838E1-4F2C-480E-9A23-64157C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5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511D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511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B3622"/>
    <w:pPr>
      <w:ind w:left="720"/>
      <w:contextualSpacing/>
    </w:pPr>
  </w:style>
  <w:style w:type="table" w:styleId="Rcsostblzat">
    <w:name w:val="Table Grid"/>
    <w:basedOn w:val="Normltblzat"/>
    <w:uiPriority w:val="39"/>
    <w:rsid w:val="00CB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A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Borsóné Juhász Katalin</dc:creator>
  <cp:keywords/>
  <dc:description/>
  <cp:lastModifiedBy>Erdélyiné Juhász Lejla</cp:lastModifiedBy>
  <cp:revision>8</cp:revision>
  <cp:lastPrinted>2015-02-10T13:47:00Z</cp:lastPrinted>
  <dcterms:created xsi:type="dcterms:W3CDTF">2017-02-09T08:08:00Z</dcterms:created>
  <dcterms:modified xsi:type="dcterms:W3CDTF">2017-02-22T09:47:00Z</dcterms:modified>
</cp:coreProperties>
</file>