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D9" w:rsidRPr="003511D9" w:rsidRDefault="003511D9" w:rsidP="0035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Felsőtárkány Község Önkormányzat Képviselő-testületének</w:t>
      </w:r>
    </w:p>
    <w:p w:rsidR="003511D9" w:rsidRPr="003511D9" w:rsidRDefault="003511D9" w:rsidP="003511D9">
      <w:pPr>
        <w:tabs>
          <w:tab w:val="left" w:pos="267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00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BF6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(II.1</w:t>
      </w:r>
      <w:r w:rsidR="00BF6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C33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rendelete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</w:t>
      </w:r>
      <w:r w:rsidR="00BF6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költségvetéséről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Önkormányzat Képviselő testü</w:t>
      </w:r>
      <w:bookmarkStart w:id="0" w:name="_GoBack"/>
      <w:bookmarkEnd w:id="0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lete az Alaptörvény 32. cikk (2) bekezdésében meghatározott eredeti jogalkotói hatáskörében, az Alaptörvény 32. cikk (1) bekezdésének f) pontjában meghatározott feladatkörében eljárva az önkormányzat 201</w:t>
      </w:r>
      <w:r w:rsidR="00BF6AEB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költségvetéséről az alábbi rendeletet alkotja: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1. §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Felsőtárkány Község Önkormányzatára (a továbbiakban: Önkormányzat), az önkormányzati hivatalra (a továbbiakban: Közös Hivatal), az önkormányzat fenntartásában álló költségvetési szervekre, az önkormányzat többségi tulajdonában álló gazdasági társaságokra, az önkormányzati támogatásban részesített magánszemélyekre, jogi személyekre és jogi személyiséggel nem rendelkező szervezetekre.</w:t>
      </w:r>
    </w:p>
    <w:p w:rsidR="003511D9" w:rsidRPr="003511D9" w:rsidRDefault="003511D9" w:rsidP="003511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önállóan működő és gazdálkodó szervek külön-külön alkotnak egy-egy címet a (3) bekezdés szerint.</w:t>
      </w:r>
    </w:p>
    <w:p w:rsidR="003511D9" w:rsidRPr="003511D9" w:rsidRDefault="003511D9" w:rsidP="003511D9">
      <w:pPr>
        <w:tabs>
          <w:tab w:val="left" w:pos="56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működő és gazdálkodó költségvetési szervek, intézmények:</w:t>
      </w:r>
    </w:p>
    <w:p w:rsidR="003511D9" w:rsidRPr="003511D9" w:rsidRDefault="003511D9" w:rsidP="00351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815"/>
        <w:gridCol w:w="3420"/>
      </w:tblGrid>
      <w:tr w:rsidR="003511D9" w:rsidRPr="003511D9" w:rsidTr="0034792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 Község Önkormányzata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Felsőtárkány, Fő út 101. </w:t>
            </w:r>
          </w:p>
        </w:tc>
      </w:tr>
      <w:tr w:rsidR="003511D9" w:rsidRPr="003511D9" w:rsidTr="0034792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Felsőtárkányi Közös Önkormányzati Hivatal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101.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Felsőtárkányi Általános Iskola és Alapfokú Művészetoktatási Iskola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157.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 xml:space="preserve">Felsőtárkányi Óvoda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Felsőtárkány, Ady Endre utca 59. 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Felsőtárkányi Közművelődési Intézmény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350.</w:t>
            </w:r>
          </w:p>
        </w:tc>
      </w:tr>
    </w:tbl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2.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Önkormányzata a 201</w:t>
      </w:r>
      <w:r w:rsidR="00CB0BE4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költségvetésének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6"/>
        </w:numPr>
        <w:tabs>
          <w:tab w:val="left" w:pos="851"/>
          <w:tab w:val="decimal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bevételi főösszegét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CB0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379.466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ezer Ft-ban,</w:t>
      </w:r>
    </w:p>
    <w:p w:rsidR="003511D9" w:rsidRPr="00CB3622" w:rsidRDefault="003511D9" w:rsidP="00CB3622">
      <w:pPr>
        <w:pStyle w:val="Listaszerbekezds"/>
        <w:numPr>
          <w:ilvl w:val="0"/>
          <w:numId w:val="6"/>
        </w:num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kiadási főösszegét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CB0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379.466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ezer Ft-ban 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állapítja meg.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3. §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(1) Az 2. §-ban megállapított bevételi főösszeget bevételi forrásonként az alábbiak szerint határozza meg:</w:t>
      </w:r>
    </w:p>
    <w:tbl>
      <w:tblPr>
        <w:tblStyle w:val="Rcsostblzat"/>
        <w:tblW w:w="0" w:type="auto"/>
        <w:tblInd w:w="595" w:type="dxa"/>
        <w:tblLook w:val="04A0" w:firstRow="1" w:lastRow="0" w:firstColumn="1" w:lastColumn="0" w:noHBand="0" w:noVBand="1"/>
      </w:tblPr>
      <w:tblGrid>
        <w:gridCol w:w="421"/>
        <w:gridCol w:w="3685"/>
        <w:gridCol w:w="2126"/>
      </w:tblGrid>
      <w:tr w:rsidR="00CB3622" w:rsidRPr="00F50026" w:rsidTr="00CB3622">
        <w:tc>
          <w:tcPr>
            <w:tcW w:w="421" w:type="dxa"/>
          </w:tcPr>
          <w:p w:rsidR="00CB3622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támogatás</w:t>
            </w:r>
          </w:p>
        </w:tc>
        <w:tc>
          <w:tcPr>
            <w:tcW w:w="2126" w:type="dxa"/>
          </w:tcPr>
          <w:p w:rsidR="00CB3622" w:rsidRPr="00E1296D" w:rsidRDefault="001A3636" w:rsidP="00F50026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F50026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61.532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Átengedett központi adó</w:t>
            </w:r>
          </w:p>
        </w:tc>
        <w:tc>
          <w:tcPr>
            <w:tcW w:w="2126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8.000 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bevétel</w:t>
            </w:r>
          </w:p>
        </w:tc>
        <w:tc>
          <w:tcPr>
            <w:tcW w:w="2126" w:type="dxa"/>
          </w:tcPr>
          <w:p w:rsidR="00CB3622" w:rsidRPr="00E1296D" w:rsidRDefault="001A3636" w:rsidP="001A3636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159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900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Támogatásértékű bevétel</w:t>
            </w:r>
          </w:p>
        </w:tc>
        <w:tc>
          <w:tcPr>
            <w:tcW w:w="2126" w:type="dxa"/>
          </w:tcPr>
          <w:p w:rsidR="00CB3622" w:rsidRPr="00E1296D" w:rsidRDefault="001A3636" w:rsidP="001A3636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11.567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685" w:type="dxa"/>
          </w:tcPr>
          <w:p w:rsidR="00CB3622" w:rsidRPr="00E1296D" w:rsidRDefault="00E1296D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Intézmények saját bevétele</w:t>
            </w:r>
          </w:p>
        </w:tc>
        <w:tc>
          <w:tcPr>
            <w:tcW w:w="2126" w:type="dxa"/>
          </w:tcPr>
          <w:p w:rsidR="00CB3622" w:rsidRPr="00E1296D" w:rsidRDefault="00E1296D" w:rsidP="00E1296D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6.715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pénzmaradvány</w:t>
            </w:r>
          </w:p>
        </w:tc>
        <w:tc>
          <w:tcPr>
            <w:tcW w:w="2126" w:type="dxa"/>
          </w:tcPr>
          <w:p w:rsidR="00CB3622" w:rsidRPr="00E1296D" w:rsidRDefault="001A3636" w:rsidP="001A3636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31.752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CB3622" w:rsidP="00CB3622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126" w:type="dxa"/>
          </w:tcPr>
          <w:p w:rsidR="00CB3622" w:rsidRPr="00E1296D" w:rsidRDefault="00CB0BE4" w:rsidP="00CB3622">
            <w:pPr>
              <w:keepNext/>
              <w:keepLines/>
              <w:jc w:val="right"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379.466</w:t>
            </w:r>
            <w:r w:rsidR="00CB3622"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 xml:space="preserve"> ezer Ft</w:t>
            </w:r>
          </w:p>
        </w:tc>
      </w:tr>
    </w:tbl>
    <w:p w:rsidR="003511D9" w:rsidRPr="003511D9" w:rsidRDefault="003511D9" w:rsidP="003511D9">
      <w:pPr>
        <w:keepNext/>
        <w:keepLines/>
        <w:spacing w:after="0" w:line="240" w:lineRule="auto"/>
        <w:outlineLvl w:val="3"/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</w:pP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(2) A bevételi főösszeg fejezetek, címek, alcímek, jogcímek, előirányzati csoportok és kiemelt előirányzatok szerinti megoszlását az 1. sz.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(3) Az 2. §-ban meghatározott kiadási főösszeg részletezését az alábbiak szerint határozza meg:</w:t>
      </w:r>
    </w:p>
    <w:p w:rsidR="00CB3622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595" w:type="dxa"/>
        <w:tblLook w:val="04A0" w:firstRow="1" w:lastRow="0" w:firstColumn="1" w:lastColumn="0" w:noHBand="0" w:noVBand="1"/>
      </w:tblPr>
      <w:tblGrid>
        <w:gridCol w:w="421"/>
        <w:gridCol w:w="3118"/>
        <w:gridCol w:w="1985"/>
      </w:tblGrid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jellegű kiadások</w:t>
            </w:r>
          </w:p>
        </w:tc>
        <w:tc>
          <w:tcPr>
            <w:tcW w:w="1985" w:type="dxa"/>
          </w:tcPr>
          <w:p w:rsidR="00CB3622" w:rsidRPr="00CB3622" w:rsidRDefault="006352FA" w:rsidP="006352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137.525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985" w:type="dxa"/>
          </w:tcPr>
          <w:p w:rsidR="00CB3622" w:rsidRPr="00CB3622" w:rsidRDefault="006352FA" w:rsidP="006352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34.909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985" w:type="dxa"/>
          </w:tcPr>
          <w:p w:rsidR="00CB3622" w:rsidRPr="00CB3622" w:rsidRDefault="006352FA" w:rsidP="006352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115.208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pénzbeni juttatása</w:t>
            </w:r>
          </w:p>
        </w:tc>
        <w:tc>
          <w:tcPr>
            <w:tcW w:w="1985" w:type="dxa"/>
          </w:tcPr>
          <w:p w:rsidR="00CB3622" w:rsidRPr="00CB3622" w:rsidRDefault="006352FA" w:rsidP="006352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650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1985" w:type="dxa"/>
          </w:tcPr>
          <w:p w:rsidR="00CB3622" w:rsidRPr="00CB3622" w:rsidRDefault="006352FA" w:rsidP="006352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Átadott pénzeszközök</w:t>
            </w:r>
          </w:p>
        </w:tc>
        <w:tc>
          <w:tcPr>
            <w:tcW w:w="1985" w:type="dxa"/>
          </w:tcPr>
          <w:p w:rsidR="00CB3622" w:rsidRPr="00CB3622" w:rsidRDefault="006352FA" w:rsidP="006352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65.870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CB3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118" w:type="dxa"/>
          </w:tcPr>
          <w:p w:rsidR="00CB3622" w:rsidRPr="00CB3622" w:rsidRDefault="00CB3622" w:rsidP="00CB3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talék</w:t>
            </w:r>
          </w:p>
        </w:tc>
        <w:tc>
          <w:tcPr>
            <w:tcW w:w="1985" w:type="dxa"/>
          </w:tcPr>
          <w:p w:rsidR="00CB3622" w:rsidRPr="00CB3622" w:rsidRDefault="006352FA" w:rsidP="006352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18.304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3511D9" w:rsidTr="00CB3622">
        <w:tc>
          <w:tcPr>
            <w:tcW w:w="421" w:type="dxa"/>
          </w:tcPr>
          <w:p w:rsidR="00CB3622" w:rsidRPr="00CB3622" w:rsidRDefault="00CB3622" w:rsidP="00AA14F1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985" w:type="dxa"/>
          </w:tcPr>
          <w:p w:rsidR="00CB3622" w:rsidRPr="003511D9" w:rsidRDefault="00CB0BE4" w:rsidP="00CB3622">
            <w:pPr>
              <w:keepNext/>
              <w:keepLines/>
              <w:jc w:val="right"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379.466</w:t>
            </w:r>
            <w:r w:rsidR="00CB3622" w:rsidRP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 xml:space="preserve"> ezer Ft</w:t>
            </w:r>
          </w:p>
        </w:tc>
      </w:tr>
    </w:tbl>
    <w:p w:rsidR="003511D9" w:rsidRPr="003511D9" w:rsidRDefault="003511D9" w:rsidP="003511D9">
      <w:pPr>
        <w:keepNext/>
        <w:keepLines/>
        <w:spacing w:after="0" w:line="240" w:lineRule="auto"/>
        <w:outlineLvl w:val="3"/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</w:pPr>
      <w:r w:rsidRPr="003511D9"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  <w:tab/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(4) A kiadási főösszeg fejezetek, címek, alcímek, jogcímek, előirányzati csoportok és kiemelt előirányzatok szerinti megoszlását az 2. sz.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(5) A 2.§.-ban megállapított </w:t>
      </w:r>
      <w:r w:rsidR="001A3636">
        <w:rPr>
          <w:rFonts w:ascii="Times New Roman" w:eastAsia="Times New Roman" w:hAnsi="Times New Roman" w:cs="Times New Roman"/>
          <w:sz w:val="24"/>
          <w:szCs w:val="20"/>
          <w:lang w:eastAsia="hu-HU"/>
        </w:rPr>
        <w:t>379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1A3636">
        <w:rPr>
          <w:rFonts w:ascii="Times New Roman" w:eastAsia="Times New Roman" w:hAnsi="Times New Roman" w:cs="Times New Roman"/>
          <w:sz w:val="24"/>
          <w:szCs w:val="20"/>
          <w:lang w:eastAsia="hu-HU"/>
        </w:rPr>
        <w:t>466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ezer Ft kiadási főösszeget az alábbiak alapján hagyja jóvá: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Felsőtárkányi Közös Önkormányzati Hivatal költségvetése                    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66.410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ezer Ft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Óvoda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62.017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ezer Ft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Közművelődési Intézmény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2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795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ezer Ft</w:t>
      </w:r>
    </w:p>
    <w:p w:rsidR="003511D9" w:rsidRPr="003511D9" w:rsidRDefault="00CB3622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 Község Önkormányzata önkormányzati feladat ellátásához kapcsolódó költségvetése                                                                                           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221.244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ezer Ft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(6) A 201</w:t>
      </w:r>
      <w:r w:rsidR="00502918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 bevételeinek és kiadásainak összefoglaló Mérlegét és Pénzforgalmi mérlegét a 3.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(7) A gördülő tervezés kertében az önkormányzat 201</w:t>
      </w:r>
      <w:r w:rsidR="00502918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-201</w:t>
      </w:r>
      <w:r w:rsidR="00502918">
        <w:rPr>
          <w:rFonts w:ascii="Times New Roman" w:eastAsia="Times New Roman" w:hAnsi="Times New Roman" w:cs="Times New Roman"/>
          <w:sz w:val="24"/>
          <w:szCs w:val="20"/>
          <w:lang w:eastAsia="hu-HU"/>
        </w:rPr>
        <w:t>7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évekre vonatkozó várható előirányzatait a 6.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(8) Az év várható bevételi és kiadási előirányzatainak teljesüléséről az előirányzat felhasználási ütemtervet a 4.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(9) A Felújítási előirányzatokat célonként, a felhalmozási kiadásokat feladatonként az 5. számú melléklet tartalmazza.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(10) Az önkormányzat polgármesterének az átmeneti gazdálkodásról szóló elszámolását a 7. számú melléklet.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(11) A Képviselő- testület a közvetett támogatások tekintetében az alábbiakat hagyja jóvá:</w:t>
      </w:r>
    </w:p>
    <w:p w:rsidR="003511D9" w:rsidRPr="003511D9" w:rsidRDefault="00CB3622" w:rsidP="001F4E0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a)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Adókedvezmény az önkormányzati adórendeletekben nem szerepel, adómérséklést a költségvetésben nem terveztünk.</w:t>
      </w:r>
    </w:p>
    <w:p w:rsidR="003511D9" w:rsidRPr="003511D9" w:rsidRDefault="00CB3622" w:rsidP="001F4E0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b)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Ellátottak térítési díjának illetve kártérítésének méltányossági alapon történő elengedését, valamint egyéb kedvezményeket nem alkalmazunk.</w:t>
      </w:r>
    </w:p>
    <w:p w:rsidR="003511D9" w:rsidRPr="003511D9" w:rsidRDefault="00CB3622" w:rsidP="001F4E0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c)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Ingyenes teremhasználatot </w:t>
      </w:r>
      <w:r w:rsidR="003511D9" w:rsidRPr="00E1296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1088 órában </w:t>
      </w:r>
      <w:smartTag w:uri="urn:schemas-microsoft-com:office:smarttags" w:element="metricconverter">
        <w:smartTagPr>
          <w:attr w:name="ProductID" w:val="2ﾠ740 000 Ft"/>
        </w:smartTagPr>
        <w:r w:rsidR="003511D9" w:rsidRPr="00E1296D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2 740 000</w:t>
        </w:r>
        <w:r w:rsidR="003511D9" w:rsidRPr="003511D9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Ft</w:t>
        </w:r>
      </w:smartTag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értékben adunk településünk civil szervezeteinek. 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4. §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="001F4E0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rendelet hatálya kiterjed az Önkormányzatra, valamint költségvetési szerveire.</w:t>
      </w: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(2) Az Önkormányzat költségvetési szervei:</w:t>
      </w:r>
    </w:p>
    <w:p w:rsidR="003511D9" w:rsidRPr="00CB3622" w:rsidRDefault="003511D9" w:rsidP="00CB3622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Felsőtárkányi Közös Önkormányzati Hivatal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Óvoda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Felsőtárkányi Közművelődési Intézmény 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a kijelölt szerv, amely a gazdálkodási feladatok ellátásával megbízásra kerül Felsőtárkányi Közös Önkormányzati Hivatal.</w:t>
      </w: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melyek az Államháztartásról szóló 2011.évi CXCV. törvény  alapján címrendet alkotnak.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5.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létszámkeretét a képviselőtestület a 2. számú mellékletben feltüntetettek szerint állapítja meg.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E1296D" w:rsidRDefault="003511D9" w:rsidP="0035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közszolgálati tisztviselők cafetéria - juttatásának éves összege: </w:t>
      </w:r>
      <w:r w:rsidR="00502918"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02918"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,- Ft, mely fedezetet biztosít az egyes juttatásokhoz kapcsolódó, a juttatást teljesítő munkáltatót terhelő közterhek megfizetésére is.</w:t>
      </w:r>
    </w:p>
    <w:p w:rsidR="003511D9" w:rsidRPr="00E1296D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96D" w:rsidRPr="00E1296D" w:rsidRDefault="00E1296D" w:rsidP="00E129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cafetéria juttatásának éves összege külön egyedi Képviselő-testületi döntésen alapul.</w:t>
      </w:r>
    </w:p>
    <w:p w:rsidR="00E1296D" w:rsidRPr="00E1296D" w:rsidRDefault="00E1296D" w:rsidP="00E1296D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E129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közalkalmazottak, munkatörvénykönyves munkavállalók (kivéve a közhasznú foglalkoztatottakat) Erzsébet utalvány juttatásának éves összege: 96.000,- Ft, mely után az önkormányzat fizeti az egyes juttatásokhoz kapcsolódó, a juttatást teljesítő munkáltatót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terhelő közterheket.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6.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Polgármestere 100.000,- Ft-ig vállalhat kötelezettséget a költségvetésben biztosított felhasználási kereten belül.</w:t>
      </w:r>
    </w:p>
    <w:p w:rsidR="003511D9" w:rsidRPr="003511D9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költségvetésben szereplő előirányzatokon túl csak:</w:t>
      </w:r>
    </w:p>
    <w:p w:rsidR="003511D9" w:rsidRPr="00CB3622" w:rsidRDefault="003511D9" w:rsidP="00CB3622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közvetlen életveszély</w:t>
      </w:r>
    </w:p>
    <w:p w:rsidR="003511D9" w:rsidRPr="00CB3622" w:rsidRDefault="003511D9" w:rsidP="00CB3622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 működésének akadályoztatása</w:t>
      </w:r>
    </w:p>
    <w:p w:rsidR="003511D9" w:rsidRPr="00CB3622" w:rsidRDefault="003511D9" w:rsidP="00CB3622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azonnali intézkedést igénylő ügyek esetén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vállalhat kötelezettséget a Polgármester - szintén 100.000 Ft-ig - a költségvetési tartalék terhére.</w:t>
      </w:r>
    </w:p>
    <w:p w:rsidR="003511D9" w:rsidRPr="003511D9" w:rsidRDefault="003511D9" w:rsidP="003511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7. §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FE1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szintű költségvetés végrehajtásáért a polgármester, a könyvvezetéssel kapcsolatos feladatok ellátásáért a jegyző a felelős.</w:t>
      </w:r>
    </w:p>
    <w:p w:rsidR="001F4E0D" w:rsidRDefault="001F4E0D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gazdálkodásának biztonságáért a képviselő-testület, a gazdálkodás szabályszerűségéért a polgármester felelős.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bevételeinek és kiadásainak módosításáról, a kiadási előirányzatok közötti átcsoportosításról a képviselő-testület dönt.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</w:t>
      </w:r>
      <w:r w:rsid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költségvetési szervek ellenőrzése a belső kontrollrendszer keretében valósul meg, melynek létrehozásáért, működtetésért a jegyző felelős.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Záró rendelkezések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8.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Ez a rendelet a kihirdetése napján lép hatályba, de rendelkezéseit 201</w:t>
      </w:r>
      <w:r w:rsidR="00FE1458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január 1. napjától kell alkalmazni.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Felsőtárkány, 201</w:t>
      </w:r>
      <w:r w:rsidR="00FE1458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február 1</w:t>
      </w:r>
      <w:r w:rsidR="00FE1458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dr. </w:t>
      </w:r>
      <w:smartTag w:uri="urn:schemas-microsoft-com:office:smarttags" w:element="PersonName">
        <w:smartTagPr>
          <w:attr w:name="ProductID" w:val="Juhász Attila Simon"/>
        </w:smartTagPr>
        <w:r w:rsidRPr="003511D9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Juhász Attila Simon</w:t>
        </w:r>
      </w:smartTag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Hegyiné Kertész Zsuzsanna</w:t>
      </w:r>
    </w:p>
    <w:p w:rsidR="003511D9" w:rsidRPr="003511D9" w:rsidRDefault="003511D9" w:rsidP="003511D9">
      <w:pPr>
        <w:keepNext/>
        <w:tabs>
          <w:tab w:val="center" w:pos="851"/>
          <w:tab w:val="left" w:pos="5670"/>
          <w:tab w:val="center" w:pos="652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 jegyző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Záradék: 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FE1458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Kihirdetve 2015. február 13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Hegyiné Kertész Zsuzsanna </w:t>
      </w:r>
    </w:p>
    <w:p w:rsidR="003511D9" w:rsidRPr="003511D9" w:rsidRDefault="003511D9" w:rsidP="003511D9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jegyző</w:t>
      </w:r>
    </w:p>
    <w:p w:rsidR="00372CA8" w:rsidRDefault="00372CA8"/>
    <w:sectPr w:rsidR="00372CA8" w:rsidSect="00CB0BE4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D9" w:rsidRDefault="003511D9" w:rsidP="003511D9">
      <w:pPr>
        <w:spacing w:after="0" w:line="240" w:lineRule="auto"/>
      </w:pPr>
      <w:r>
        <w:separator/>
      </w:r>
    </w:p>
  </w:endnote>
  <w:endnote w:type="continuationSeparator" w:id="0">
    <w:p w:rsidR="003511D9" w:rsidRDefault="003511D9" w:rsidP="0035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D9" w:rsidRDefault="003511D9" w:rsidP="003511D9">
      <w:pPr>
        <w:spacing w:after="0" w:line="240" w:lineRule="auto"/>
      </w:pPr>
      <w:r>
        <w:separator/>
      </w:r>
    </w:p>
  </w:footnote>
  <w:footnote w:type="continuationSeparator" w:id="0">
    <w:p w:rsidR="003511D9" w:rsidRDefault="003511D9" w:rsidP="0035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3F77"/>
    <w:multiLevelType w:val="hybridMultilevel"/>
    <w:tmpl w:val="0002C6B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57BD4"/>
    <w:multiLevelType w:val="hybridMultilevel"/>
    <w:tmpl w:val="6F5207C0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703421"/>
    <w:multiLevelType w:val="hybridMultilevel"/>
    <w:tmpl w:val="10E0E3E0"/>
    <w:lvl w:ilvl="0" w:tplc="086443E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3E21555"/>
    <w:multiLevelType w:val="hybridMultilevel"/>
    <w:tmpl w:val="BC4EA79C"/>
    <w:lvl w:ilvl="0" w:tplc="5E1CF668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F4D300E"/>
    <w:multiLevelType w:val="hybridMultilevel"/>
    <w:tmpl w:val="8CE6EA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9"/>
    <w:rsid w:val="001A3636"/>
    <w:rsid w:val="001F4E0D"/>
    <w:rsid w:val="00200FDB"/>
    <w:rsid w:val="003511D9"/>
    <w:rsid w:val="00372CA8"/>
    <w:rsid w:val="00502918"/>
    <w:rsid w:val="006352FA"/>
    <w:rsid w:val="008A2790"/>
    <w:rsid w:val="00BF6AEB"/>
    <w:rsid w:val="00C33B87"/>
    <w:rsid w:val="00CB0BE4"/>
    <w:rsid w:val="00CB3622"/>
    <w:rsid w:val="00DD0E3F"/>
    <w:rsid w:val="00E1296D"/>
    <w:rsid w:val="00F50026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38E1-4F2C-480E-9A23-64157CC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11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511D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B3622"/>
    <w:pPr>
      <w:ind w:left="720"/>
      <w:contextualSpacing/>
    </w:pPr>
  </w:style>
  <w:style w:type="table" w:styleId="Rcsostblzat">
    <w:name w:val="Table Grid"/>
    <w:basedOn w:val="Normltblzat"/>
    <w:uiPriority w:val="39"/>
    <w:rsid w:val="00CB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A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Borsóné Juhász Katalin</dc:creator>
  <cp:keywords/>
  <dc:description/>
  <cp:lastModifiedBy>Baloghné Csávás Edina</cp:lastModifiedBy>
  <cp:revision>3</cp:revision>
  <cp:lastPrinted>2015-02-10T13:47:00Z</cp:lastPrinted>
  <dcterms:created xsi:type="dcterms:W3CDTF">2015-02-17T12:08:00Z</dcterms:created>
  <dcterms:modified xsi:type="dcterms:W3CDTF">2015-02-17T13:26:00Z</dcterms:modified>
</cp:coreProperties>
</file>